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32" w:rsidRDefault="00515832" w:rsidP="00515832">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both"/>
        <w:rPr>
          <w:b/>
        </w:rPr>
      </w:pPr>
    </w:p>
    <w:p w:rsidR="00515832" w:rsidRPr="007A31D0" w:rsidRDefault="00515832" w:rsidP="00515832">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center"/>
        <w:rPr>
          <w:b/>
          <w:sz w:val="28"/>
          <w:szCs w:val="28"/>
        </w:rPr>
      </w:pPr>
      <w:r w:rsidRPr="007A31D0">
        <w:rPr>
          <w:b/>
          <w:sz w:val="28"/>
          <w:szCs w:val="28"/>
        </w:rPr>
        <w:t>A Guide to Embedding the Common Good Curriculum in the Taught Curriculum</w:t>
      </w:r>
    </w:p>
    <w:p w:rsidR="00515832" w:rsidRPr="007A31D0" w:rsidRDefault="00515832" w:rsidP="00515832">
      <w:pPr>
        <w:pBdr>
          <w:top w:val="single" w:sz="4" w:space="1" w:color="auto"/>
          <w:left w:val="single" w:sz="4" w:space="4" w:color="auto"/>
          <w:bottom w:val="single" w:sz="4" w:space="1" w:color="auto"/>
          <w:right w:val="single" w:sz="4" w:space="4" w:color="auto"/>
        </w:pBdr>
        <w:shd w:val="clear" w:color="auto" w:fill="8DB3E2" w:themeFill="text2" w:themeFillTint="66"/>
        <w:spacing w:after="0" w:line="240" w:lineRule="auto"/>
        <w:jc w:val="both"/>
        <w:rPr>
          <w:b/>
          <w:sz w:val="24"/>
          <w:szCs w:val="24"/>
        </w:rPr>
      </w:pPr>
    </w:p>
    <w:p w:rsidR="00515832" w:rsidRPr="007A31D0" w:rsidRDefault="00515832" w:rsidP="00515832">
      <w:pPr>
        <w:spacing w:after="0" w:line="240" w:lineRule="auto"/>
        <w:jc w:val="both"/>
        <w:rPr>
          <w:b/>
        </w:rPr>
      </w:pPr>
    </w:p>
    <w:p w:rsidR="00515832" w:rsidRPr="007A31D0" w:rsidRDefault="00515832" w:rsidP="00515832">
      <w:pPr>
        <w:spacing w:after="0" w:line="240" w:lineRule="auto"/>
        <w:jc w:val="both"/>
      </w:pPr>
    </w:p>
    <w:p w:rsidR="00515832" w:rsidRDefault="00515832" w:rsidP="00515832">
      <w:pPr>
        <w:spacing w:after="0" w:line="240" w:lineRule="auto"/>
        <w:jc w:val="both"/>
        <w:rPr>
          <w:b/>
          <w:sz w:val="24"/>
          <w:szCs w:val="24"/>
        </w:rPr>
      </w:pPr>
      <w:r w:rsidRPr="007A31D0">
        <w:rPr>
          <w:b/>
          <w:sz w:val="24"/>
          <w:szCs w:val="24"/>
        </w:rPr>
        <w:t xml:space="preserve">This guide provides support for staff in embedding the Common Good in the </w:t>
      </w:r>
      <w:r w:rsidRPr="007A31D0">
        <w:rPr>
          <w:b/>
          <w:i/>
          <w:sz w:val="24"/>
          <w:szCs w:val="24"/>
        </w:rPr>
        <w:t>taught</w:t>
      </w:r>
      <w:r w:rsidRPr="007A31D0">
        <w:rPr>
          <w:b/>
          <w:sz w:val="24"/>
          <w:szCs w:val="24"/>
        </w:rPr>
        <w:t xml:space="preserve"> curriculum on formal programmes.</w:t>
      </w:r>
      <w:r>
        <w:rPr>
          <w:b/>
          <w:sz w:val="24"/>
          <w:szCs w:val="24"/>
        </w:rPr>
        <w:t xml:space="preserve"> Information provided includes:</w:t>
      </w:r>
    </w:p>
    <w:p w:rsidR="00515832" w:rsidRDefault="00515832" w:rsidP="00515832">
      <w:pPr>
        <w:spacing w:after="0" w:line="240" w:lineRule="auto"/>
        <w:jc w:val="both"/>
        <w:rPr>
          <w:b/>
          <w:sz w:val="24"/>
          <w:szCs w:val="24"/>
        </w:rPr>
      </w:pPr>
    </w:p>
    <w:p w:rsidR="00515832" w:rsidRDefault="00515832" w:rsidP="00515832">
      <w:pPr>
        <w:pStyle w:val="ListParagraph"/>
        <w:numPr>
          <w:ilvl w:val="0"/>
          <w:numId w:val="1"/>
        </w:numPr>
        <w:spacing w:after="0" w:line="240" w:lineRule="auto"/>
        <w:jc w:val="both"/>
        <w:rPr>
          <w:b/>
          <w:color w:val="002060"/>
          <w:sz w:val="24"/>
          <w:szCs w:val="24"/>
        </w:rPr>
      </w:pPr>
      <w:r w:rsidRPr="00D02C27">
        <w:rPr>
          <w:b/>
          <w:color w:val="002060"/>
          <w:sz w:val="24"/>
          <w:szCs w:val="24"/>
        </w:rPr>
        <w:t>Common Good Cur</w:t>
      </w:r>
      <w:r>
        <w:rPr>
          <w:b/>
          <w:color w:val="002060"/>
          <w:sz w:val="24"/>
          <w:szCs w:val="24"/>
        </w:rPr>
        <w:t>riculum: Questions, A</w:t>
      </w:r>
      <w:r w:rsidRPr="00D02C27">
        <w:rPr>
          <w:b/>
          <w:color w:val="002060"/>
          <w:sz w:val="24"/>
          <w:szCs w:val="24"/>
        </w:rPr>
        <w:t>nswers</w:t>
      </w:r>
      <w:r>
        <w:rPr>
          <w:b/>
          <w:color w:val="002060"/>
          <w:sz w:val="24"/>
          <w:szCs w:val="24"/>
        </w:rPr>
        <w:t xml:space="preserve"> and Key Contacts</w:t>
      </w:r>
    </w:p>
    <w:p w:rsidR="00515832" w:rsidRPr="00614C2C" w:rsidRDefault="00515832" w:rsidP="00515832">
      <w:pPr>
        <w:pStyle w:val="ListParagraph"/>
        <w:numPr>
          <w:ilvl w:val="0"/>
          <w:numId w:val="1"/>
        </w:numPr>
        <w:spacing w:after="0" w:line="240" w:lineRule="auto"/>
        <w:jc w:val="both"/>
        <w:rPr>
          <w:b/>
          <w:color w:val="002060"/>
          <w:sz w:val="24"/>
          <w:szCs w:val="24"/>
        </w:rPr>
      </w:pPr>
      <w:r>
        <w:rPr>
          <w:b/>
          <w:color w:val="002060"/>
          <w:sz w:val="24"/>
          <w:szCs w:val="24"/>
        </w:rPr>
        <w:t>Overview of GCU Core Values, Behaviours and Common Good Attributes</w:t>
      </w:r>
    </w:p>
    <w:p w:rsidR="00515832" w:rsidRPr="00D02C27" w:rsidRDefault="00515832" w:rsidP="00515832">
      <w:pPr>
        <w:pStyle w:val="ListParagraph"/>
        <w:numPr>
          <w:ilvl w:val="0"/>
          <w:numId w:val="1"/>
        </w:numPr>
        <w:spacing w:after="0" w:line="240" w:lineRule="auto"/>
        <w:jc w:val="both"/>
        <w:rPr>
          <w:b/>
          <w:color w:val="002060"/>
          <w:sz w:val="24"/>
          <w:szCs w:val="24"/>
        </w:rPr>
      </w:pPr>
      <w:r>
        <w:rPr>
          <w:b/>
          <w:color w:val="002060"/>
          <w:sz w:val="24"/>
          <w:szCs w:val="24"/>
        </w:rPr>
        <w:t>Insert required for Programme Handbooks</w:t>
      </w:r>
    </w:p>
    <w:p w:rsidR="00515832" w:rsidRPr="00D02C27" w:rsidRDefault="00515832" w:rsidP="00515832">
      <w:pPr>
        <w:pStyle w:val="ListParagraph"/>
        <w:numPr>
          <w:ilvl w:val="0"/>
          <w:numId w:val="1"/>
        </w:numPr>
        <w:spacing w:after="0" w:line="240" w:lineRule="auto"/>
        <w:jc w:val="both"/>
        <w:rPr>
          <w:b/>
          <w:color w:val="002060"/>
          <w:sz w:val="24"/>
          <w:szCs w:val="24"/>
        </w:rPr>
      </w:pPr>
      <w:r>
        <w:rPr>
          <w:b/>
          <w:color w:val="002060"/>
          <w:sz w:val="24"/>
          <w:szCs w:val="24"/>
        </w:rPr>
        <w:t>Documentation required for Programme Approval and R</w:t>
      </w:r>
      <w:r w:rsidRPr="00D02C27">
        <w:rPr>
          <w:b/>
          <w:color w:val="002060"/>
          <w:sz w:val="24"/>
          <w:szCs w:val="24"/>
        </w:rPr>
        <w:t>eview</w:t>
      </w:r>
    </w:p>
    <w:p w:rsidR="00515832" w:rsidRPr="00D02C27" w:rsidRDefault="00515832" w:rsidP="00515832">
      <w:pPr>
        <w:pStyle w:val="ListParagraph"/>
        <w:numPr>
          <w:ilvl w:val="0"/>
          <w:numId w:val="1"/>
        </w:numPr>
        <w:spacing w:after="0" w:line="240" w:lineRule="auto"/>
        <w:jc w:val="both"/>
        <w:rPr>
          <w:b/>
          <w:color w:val="002060"/>
          <w:sz w:val="24"/>
          <w:szCs w:val="24"/>
        </w:rPr>
      </w:pPr>
      <w:r>
        <w:rPr>
          <w:b/>
          <w:color w:val="002060"/>
          <w:sz w:val="24"/>
          <w:szCs w:val="24"/>
        </w:rPr>
        <w:t>Examples of completed P</w:t>
      </w:r>
      <w:r w:rsidRPr="00D02C27">
        <w:rPr>
          <w:b/>
          <w:color w:val="002060"/>
          <w:sz w:val="24"/>
          <w:szCs w:val="24"/>
        </w:rPr>
        <w:t xml:space="preserve">rogramme </w:t>
      </w:r>
      <w:r>
        <w:rPr>
          <w:b/>
          <w:color w:val="002060"/>
          <w:sz w:val="24"/>
          <w:szCs w:val="24"/>
        </w:rPr>
        <w:t>Approval and R</w:t>
      </w:r>
      <w:r w:rsidRPr="00D02C27">
        <w:rPr>
          <w:b/>
          <w:color w:val="002060"/>
          <w:sz w:val="24"/>
          <w:szCs w:val="24"/>
        </w:rPr>
        <w:t xml:space="preserve">eview </w:t>
      </w:r>
      <w:r>
        <w:rPr>
          <w:b/>
          <w:color w:val="002060"/>
          <w:sz w:val="24"/>
          <w:szCs w:val="24"/>
        </w:rPr>
        <w:t xml:space="preserve">mapping </w:t>
      </w:r>
      <w:r w:rsidRPr="00D02C27">
        <w:rPr>
          <w:b/>
          <w:color w:val="002060"/>
          <w:sz w:val="24"/>
          <w:szCs w:val="24"/>
        </w:rPr>
        <w:t>template</w:t>
      </w:r>
    </w:p>
    <w:p w:rsidR="00515832" w:rsidRPr="007A31D0" w:rsidRDefault="00515832" w:rsidP="00515832">
      <w:pPr>
        <w:spacing w:after="0" w:line="240" w:lineRule="auto"/>
        <w:jc w:val="both"/>
        <w:rPr>
          <w:b/>
          <w:sz w:val="24"/>
          <w:szCs w:val="24"/>
        </w:rPr>
      </w:pPr>
    </w:p>
    <w:p w:rsidR="00515832" w:rsidRPr="007A31D0" w:rsidRDefault="00515832" w:rsidP="00515832">
      <w:pPr>
        <w:spacing w:after="0" w:line="240" w:lineRule="auto"/>
        <w:jc w:val="both"/>
        <w:rPr>
          <w:b/>
          <w:sz w:val="24"/>
          <w:szCs w:val="24"/>
        </w:rPr>
      </w:pPr>
      <w:r w:rsidRPr="007A31D0">
        <w:rPr>
          <w:b/>
          <w:sz w:val="24"/>
          <w:szCs w:val="24"/>
        </w:rPr>
        <w:t xml:space="preserve">What is the common good curriculum? </w:t>
      </w:r>
    </w:p>
    <w:p w:rsidR="00515832" w:rsidRPr="007A31D0" w:rsidRDefault="00515832" w:rsidP="00515832">
      <w:pPr>
        <w:spacing w:after="0" w:line="240" w:lineRule="auto"/>
        <w:jc w:val="both"/>
      </w:pPr>
    </w:p>
    <w:p w:rsidR="00515832" w:rsidRPr="007A31D0" w:rsidRDefault="00515832" w:rsidP="00515832">
      <w:pPr>
        <w:spacing w:after="0" w:line="240" w:lineRule="auto"/>
        <w:jc w:val="both"/>
      </w:pPr>
      <w:r w:rsidRPr="007A31D0">
        <w:t>As part of the implementation of Strategy 2020 and the Strategy for Learning, the University has developed a model which will support, recognise and embed the common good within the curriculum and the wider student experience as part of its core mission. The term ‘curriculum’ in this sense refers to the totality of the GCU student learning experience, both formally within the taught curriculum and informally through co- and extra-curricular activities. It represents a distinctive approach to learning and teaching, which develops graduates capable of tackling real-world issues and translating problem-solving ideas into action.</w:t>
      </w:r>
    </w:p>
    <w:p w:rsidR="00515832" w:rsidRPr="007A31D0" w:rsidRDefault="00515832" w:rsidP="00515832">
      <w:pPr>
        <w:spacing w:after="0" w:line="240" w:lineRule="auto"/>
        <w:jc w:val="both"/>
      </w:pPr>
    </w:p>
    <w:p w:rsidR="00515832" w:rsidRPr="007A31D0" w:rsidRDefault="00515832" w:rsidP="00515832">
      <w:pPr>
        <w:spacing w:after="0"/>
        <w:rPr>
          <w:rFonts w:cstheme="minorHAnsi"/>
        </w:rPr>
      </w:pPr>
      <w:r w:rsidRPr="007A31D0">
        <w:t xml:space="preserve">It represents a distinctive approach to learning and teaching, which develops graduates capable of tackling real-world issues and translating problem-solving ideas into action. The goal is to ensure that our students develop the attributes needed to make a positive difference in the communities they serve, in addition to acquiring the knowledge, skills and values associated with their particular professional or disciplinary areas. </w:t>
      </w:r>
      <w:r w:rsidRPr="007A31D0">
        <w:rPr>
          <w:rFonts w:cstheme="minorHAnsi"/>
        </w:rPr>
        <w:t xml:space="preserve">The Common Good Curriculum forms a key part of Strategy for Learning, supporting the achievement of its goal: </w:t>
      </w:r>
      <w:hyperlink r:id="rId6" w:history="1">
        <w:r w:rsidRPr="007A31D0">
          <w:rPr>
            <w:rStyle w:val="Hyperlink"/>
            <w:rFonts w:cstheme="minorHAnsi"/>
          </w:rPr>
          <w:t>http://www.gcu.ac.uk/gaq/strategyforlearning2015-2020/</w:t>
        </w:r>
      </w:hyperlink>
    </w:p>
    <w:p w:rsidR="00515832" w:rsidRPr="007A31D0" w:rsidRDefault="00515832" w:rsidP="00515832">
      <w:pPr>
        <w:spacing w:after="0" w:line="240" w:lineRule="auto"/>
        <w:jc w:val="both"/>
      </w:pPr>
    </w:p>
    <w:p w:rsidR="00515832" w:rsidRDefault="00515832" w:rsidP="00515832">
      <w:pPr>
        <w:spacing w:after="0" w:line="240" w:lineRule="auto"/>
        <w:jc w:val="both"/>
      </w:pPr>
      <w:r w:rsidRPr="004C4E30">
        <w:rPr>
          <w:rFonts w:cstheme="minorHAnsi"/>
          <w:b/>
        </w:rPr>
        <w:t xml:space="preserve">Supporting your students in achieving the Common Good attributes is therefore not a separate new activity. </w:t>
      </w:r>
      <w:r w:rsidRPr="007A31D0">
        <w:rPr>
          <w:rFonts w:cstheme="minorHAnsi"/>
        </w:rPr>
        <w:t xml:space="preserve">A </w:t>
      </w:r>
      <w:r w:rsidRPr="007A31D0">
        <w:t xml:space="preserve">great deal of learning which is currently taking place in all Schools develops them already. This guide supports you in making them visible to students, staff and external audiences such as employers or professional bodies. </w:t>
      </w:r>
    </w:p>
    <w:p w:rsidR="00515832" w:rsidRDefault="00515832" w:rsidP="00515832">
      <w:pPr>
        <w:spacing w:after="0" w:line="240" w:lineRule="auto"/>
        <w:jc w:val="both"/>
      </w:pPr>
    </w:p>
    <w:p w:rsidR="00515832" w:rsidRDefault="00515832" w:rsidP="00515832">
      <w:pPr>
        <w:spacing w:after="0" w:line="240" w:lineRule="auto"/>
        <w:jc w:val="both"/>
      </w:pPr>
    </w:p>
    <w:p w:rsidR="00515832" w:rsidRDefault="00515832" w:rsidP="00515832">
      <w:pPr>
        <w:spacing w:after="0" w:line="240" w:lineRule="auto"/>
        <w:jc w:val="both"/>
        <w:rPr>
          <w:b/>
          <w:color w:val="FF0000"/>
          <w:sz w:val="24"/>
          <w:szCs w:val="24"/>
        </w:rPr>
      </w:pPr>
    </w:p>
    <w:p w:rsidR="00515832" w:rsidRPr="00A95DBE" w:rsidRDefault="00515832" w:rsidP="00515832">
      <w:pPr>
        <w:spacing w:after="0" w:line="240" w:lineRule="auto"/>
        <w:jc w:val="both"/>
      </w:pPr>
    </w:p>
    <w:p w:rsidR="00EC7B15" w:rsidRDefault="00EC7B15">
      <w:bookmarkStart w:id="0" w:name="_GoBack"/>
      <w:bookmarkEnd w:id="0"/>
    </w:p>
    <w:sectPr w:rsidR="00EC7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8B0"/>
    <w:multiLevelType w:val="hybridMultilevel"/>
    <w:tmpl w:val="A494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A1"/>
    <w:rsid w:val="00020697"/>
    <w:rsid w:val="001168AB"/>
    <w:rsid w:val="00215DA1"/>
    <w:rsid w:val="002D0113"/>
    <w:rsid w:val="003A652B"/>
    <w:rsid w:val="004636B8"/>
    <w:rsid w:val="00515832"/>
    <w:rsid w:val="00B1468E"/>
    <w:rsid w:val="00EC7B15"/>
    <w:rsid w:val="00FE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832"/>
    <w:pPr>
      <w:ind w:left="720"/>
      <w:contextualSpacing/>
    </w:pPr>
  </w:style>
  <w:style w:type="character" w:styleId="Hyperlink">
    <w:name w:val="Hyperlink"/>
    <w:basedOn w:val="DefaultParagraphFont"/>
    <w:uiPriority w:val="99"/>
    <w:unhideWhenUsed/>
    <w:rsid w:val="005158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832"/>
    <w:pPr>
      <w:ind w:left="720"/>
      <w:contextualSpacing/>
    </w:pPr>
  </w:style>
  <w:style w:type="character" w:styleId="Hyperlink">
    <w:name w:val="Hyperlink"/>
    <w:basedOn w:val="DefaultParagraphFont"/>
    <w:uiPriority w:val="99"/>
    <w:unhideWhenUsed/>
    <w:rsid w:val="00515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cu.ac.uk/gaq/strategyforlearning2015-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2</cp:revision>
  <dcterms:created xsi:type="dcterms:W3CDTF">2017-05-16T13:13:00Z</dcterms:created>
  <dcterms:modified xsi:type="dcterms:W3CDTF">2017-05-16T13:13:00Z</dcterms:modified>
</cp:coreProperties>
</file>