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13B" w:rsidRDefault="00F0328A">
      <w:pPr>
        <w:pStyle w:val="Heading1"/>
        <w:jc w:val="center"/>
        <w:rPr>
          <w:b/>
        </w:rPr>
      </w:pPr>
      <w:bookmarkStart w:id="0" w:name="_gu0dxfcb874t" w:colFirst="0" w:colLast="0"/>
      <w:bookmarkEnd w:id="0"/>
      <w:r>
        <w:rPr>
          <w:b/>
        </w:rPr>
        <w:t>Introduction to Assessing Digitally</w:t>
      </w:r>
      <w:r>
        <w:rPr>
          <w:noProof/>
        </w:rPr>
        <w:drawing>
          <wp:anchor distT="0" distB="0" distL="0" distR="0" simplePos="0" relativeHeight="251658240" behindDoc="0" locked="0" layoutInCell="1" hidden="0" allowOverlap="1">
            <wp:simplePos x="0" y="0"/>
            <wp:positionH relativeFrom="margin">
              <wp:posOffset>-581024</wp:posOffset>
            </wp:positionH>
            <wp:positionV relativeFrom="paragraph">
              <wp:posOffset>0</wp:posOffset>
            </wp:positionV>
            <wp:extent cx="1343830" cy="757238"/>
            <wp:effectExtent l="0" t="0" r="0" b="0"/>
            <wp:wrapTopAndBottom distT="0" dist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1343830" cy="757238"/>
                    </a:xfrm>
                    <a:prstGeom prst="rect">
                      <a:avLst/>
                    </a:prstGeom>
                    <a:ln/>
                  </pic:spPr>
                </pic:pic>
              </a:graphicData>
            </a:graphic>
          </wp:anchor>
        </w:drawing>
      </w:r>
    </w:p>
    <w:p w:rsidR="007C613B" w:rsidRDefault="00F0328A">
      <w:pPr>
        <w:jc w:val="both"/>
      </w:pPr>
      <w:r>
        <w:t>_________________________________________________________________________</w:t>
      </w:r>
    </w:p>
    <w:p w:rsidR="007C613B" w:rsidRDefault="007C613B">
      <w:pPr>
        <w:jc w:val="both"/>
      </w:pPr>
    </w:p>
    <w:p w:rsidR="007C613B" w:rsidRDefault="00F0328A">
      <w:pPr>
        <w:jc w:val="both"/>
      </w:pPr>
      <w:r>
        <w:rPr>
          <w:noProof/>
        </w:rPr>
        <w:drawing>
          <wp:inline distT="114300" distB="114300" distL="114300" distR="114300">
            <wp:extent cx="5731200" cy="2070100"/>
            <wp:effectExtent l="12700" t="12700" r="12700" b="1270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5731200" cy="2070100"/>
                    </a:xfrm>
                    <a:prstGeom prst="rect">
                      <a:avLst/>
                    </a:prstGeom>
                    <a:ln w="12700">
                      <a:solidFill>
                        <a:srgbClr val="000000"/>
                      </a:solidFill>
                      <a:prstDash val="solid"/>
                    </a:ln>
                  </pic:spPr>
                </pic:pic>
              </a:graphicData>
            </a:graphic>
          </wp:inline>
        </w:drawing>
      </w:r>
    </w:p>
    <w:p w:rsidR="007C613B" w:rsidRDefault="00F0328A">
      <w:pPr>
        <w:jc w:val="center"/>
        <w:rPr>
          <w:sz w:val="16"/>
          <w:szCs w:val="16"/>
        </w:rPr>
      </w:pPr>
      <w:r>
        <w:rPr>
          <w:sz w:val="16"/>
          <w:szCs w:val="16"/>
        </w:rPr>
        <w:t xml:space="preserve">CC0 Public Domain image from </w:t>
      </w:r>
      <w:hyperlink r:id="rId10">
        <w:r>
          <w:rPr>
            <w:color w:val="1155CC"/>
            <w:sz w:val="16"/>
            <w:szCs w:val="16"/>
            <w:u w:val="single"/>
          </w:rPr>
          <w:t>https://pixabay.com/en/assess-measure-evaluation-business-2372181/</w:t>
        </w:r>
      </w:hyperlink>
      <w:r>
        <w:rPr>
          <w:sz w:val="16"/>
          <w:szCs w:val="16"/>
        </w:rPr>
        <w:t xml:space="preserve"> </w:t>
      </w:r>
    </w:p>
    <w:p w:rsidR="007C613B" w:rsidRDefault="007C613B">
      <w:pPr>
        <w:jc w:val="both"/>
        <w:rPr>
          <w:b/>
        </w:rPr>
      </w:pPr>
    </w:p>
    <w:p w:rsidR="007C613B" w:rsidRDefault="00F0328A">
      <w:pPr>
        <w:jc w:val="both"/>
        <w:rPr>
          <w:b/>
        </w:rPr>
      </w:pPr>
      <w:r>
        <w:rPr>
          <w:b/>
        </w:rPr>
        <w:t>1. Introduction</w:t>
      </w:r>
    </w:p>
    <w:p w:rsidR="007C613B" w:rsidRDefault="007C613B">
      <w:pPr>
        <w:jc w:val="both"/>
        <w:rPr>
          <w:b/>
        </w:rPr>
      </w:pPr>
    </w:p>
    <w:p w:rsidR="007C613B" w:rsidRDefault="00F0328A">
      <w:pPr>
        <w:jc w:val="both"/>
      </w:pPr>
      <w:r>
        <w:t>As blended and online practices become more central to learning and teaching</w:t>
      </w:r>
      <w:proofErr w:type="gramStart"/>
      <w:r>
        <w:t>,  it</w:t>
      </w:r>
      <w:proofErr w:type="gramEnd"/>
      <w:r>
        <w:t xml:space="preserve"> follows that digital forms of assessment are also increasingly popular. This short guide</w:t>
      </w:r>
      <w:r>
        <w:t xml:space="preserve"> introduces some of the techniques that can be used to create innovative and engaging digital assessments to enhance the student learning experience. It should be read in conjunction with the guide </w:t>
      </w:r>
      <w:hyperlink r:id="rId11">
        <w:r>
          <w:rPr>
            <w:color w:val="1155CC"/>
            <w:u w:val="single"/>
          </w:rPr>
          <w:t>Getting Started with Online Submission, Digital Marking and Feedback</w:t>
        </w:r>
      </w:hyperlink>
    </w:p>
    <w:p w:rsidR="007C613B" w:rsidRDefault="007C613B">
      <w:pPr>
        <w:jc w:val="both"/>
      </w:pPr>
    </w:p>
    <w:p w:rsidR="007C613B" w:rsidRDefault="00F0328A">
      <w:pPr>
        <w:jc w:val="both"/>
      </w:pPr>
      <w:r>
        <w:t xml:space="preserve">As with all types of testing, digital assessments should have a </w:t>
      </w:r>
      <w:r>
        <w:rPr>
          <w:b/>
        </w:rPr>
        <w:t>clear purpose</w:t>
      </w:r>
      <w:r>
        <w:t xml:space="preserve"> and align to the module learning outcomes. The </w:t>
      </w:r>
      <w:hyperlink r:id="rId12" w:anchor="heading=h.vsiv85jx479d">
        <w:r>
          <w:rPr>
            <w:color w:val="1155CC"/>
            <w:u w:val="single"/>
          </w:rPr>
          <w:t>Module Design Guide</w:t>
        </w:r>
      </w:hyperlink>
      <w:r>
        <w:t xml:space="preserve">  provides more details on constructive alignment and designing a module effectively. Students should be provided with d</w:t>
      </w:r>
      <w:r>
        <w:t xml:space="preserve">etails of the assessments, including the format used, deadlines and submission guidelines. In the case of digital assessments, </w:t>
      </w:r>
      <w:r>
        <w:rPr>
          <w:b/>
        </w:rPr>
        <w:t>they should also know where to get help</w:t>
      </w:r>
      <w:r>
        <w:t xml:space="preserve"> if they need support in using specific technologies or applications. </w:t>
      </w:r>
    </w:p>
    <w:p w:rsidR="007C613B" w:rsidRDefault="007C613B">
      <w:pPr>
        <w:jc w:val="both"/>
      </w:pPr>
    </w:p>
    <w:p w:rsidR="007C613B" w:rsidRDefault="00F0328A">
      <w:pPr>
        <w:jc w:val="both"/>
      </w:pPr>
      <w:r>
        <w:t>As described in GC</w:t>
      </w:r>
      <w:r>
        <w:t xml:space="preserve">U’s </w:t>
      </w:r>
      <w:hyperlink r:id="rId13">
        <w:r>
          <w:rPr>
            <w:color w:val="1155CC"/>
            <w:u w:val="single"/>
          </w:rPr>
          <w:t>Guide to Developing Online Module</w:t>
        </w:r>
      </w:hyperlink>
      <w:r>
        <w:t xml:space="preserve">s, </w:t>
      </w:r>
      <w:r>
        <w:rPr>
          <w:b/>
        </w:rPr>
        <w:t>grading criteria</w:t>
      </w:r>
      <w:r>
        <w:t xml:space="preserve"> for each assignment should also be available. An increasing number of modules are using </w:t>
      </w:r>
      <w:proofErr w:type="spellStart"/>
      <w:r>
        <w:t>Turnitin</w:t>
      </w:r>
      <w:proofErr w:type="spellEnd"/>
      <w:r>
        <w:t xml:space="preserve"> Feedback Studio and the </w:t>
      </w:r>
      <w:r>
        <w:rPr>
          <w:b/>
        </w:rPr>
        <w:t xml:space="preserve">Rubrics </w:t>
      </w:r>
      <w:r>
        <w:t xml:space="preserve">feature within </w:t>
      </w:r>
      <w:r>
        <w:t xml:space="preserve">it to provide these within </w:t>
      </w:r>
      <w:proofErr w:type="spellStart"/>
      <w:r>
        <w:t>GCULearn</w:t>
      </w:r>
      <w:proofErr w:type="spellEnd"/>
      <w:r>
        <w:t>.  If you are unsure about using these, your School Learning Technologists will be able to help.</w:t>
      </w:r>
    </w:p>
    <w:p w:rsidR="007C613B" w:rsidRDefault="007C613B">
      <w:pPr>
        <w:jc w:val="both"/>
      </w:pPr>
    </w:p>
    <w:p w:rsidR="007C613B" w:rsidRDefault="00F0328A">
      <w:pPr>
        <w:jc w:val="both"/>
      </w:pPr>
      <w:r>
        <w:t xml:space="preserve">If </w:t>
      </w:r>
      <w:r>
        <w:rPr>
          <w:b/>
        </w:rPr>
        <w:t>online contributions</w:t>
      </w:r>
      <w:r>
        <w:t xml:space="preserve"> to discussion forums, blogs, wikis or social media sites are being assessed in some way, the criter</w:t>
      </w:r>
      <w:r>
        <w:t>ia for assessing online participation should be clearly described before the activities begin.</w:t>
      </w:r>
    </w:p>
    <w:p w:rsidR="007C613B" w:rsidRDefault="007C613B">
      <w:pPr>
        <w:jc w:val="both"/>
      </w:pPr>
    </w:p>
    <w:p w:rsidR="007C613B" w:rsidRDefault="00F0328A">
      <w:pPr>
        <w:jc w:val="both"/>
      </w:pPr>
      <w:r>
        <w:lastRenderedPageBreak/>
        <w:t xml:space="preserve">Students should also be informed of how and when they will receive </w:t>
      </w:r>
      <w:r>
        <w:rPr>
          <w:b/>
        </w:rPr>
        <w:t>feedback</w:t>
      </w:r>
      <w:r>
        <w:t>, and made aware of different types of feedback they will experience and how they can</w:t>
      </w:r>
      <w:r>
        <w:t xml:space="preserve"> act on it. This may include formative as well as summative, and self, peer and tutor feedback. Some modules have introduced a </w:t>
      </w:r>
      <w:r>
        <w:rPr>
          <w:b/>
        </w:rPr>
        <w:t>Feedback</w:t>
      </w:r>
      <w:r>
        <w:t xml:space="preserve"> link from the main menu which takes students directly to generic tutor feedback on assignments which is relevant for all</w:t>
      </w:r>
      <w:r>
        <w:t xml:space="preserve"> students on a module. Students can also be directed to the </w:t>
      </w:r>
      <w:hyperlink r:id="rId14">
        <w:r>
          <w:rPr>
            <w:color w:val="1155CC"/>
            <w:u w:val="single"/>
          </w:rPr>
          <w:t>feedback guidance for students</w:t>
        </w:r>
      </w:hyperlink>
      <w:r>
        <w:t xml:space="preserve">. </w:t>
      </w:r>
    </w:p>
    <w:p w:rsidR="007C613B" w:rsidRDefault="00F0328A">
      <w:pPr>
        <w:jc w:val="both"/>
        <w:rPr>
          <w:color w:val="1155CC"/>
          <w:u w:val="single"/>
        </w:rPr>
      </w:pPr>
      <w:r>
        <w:fldChar w:fldCharType="begin"/>
      </w:r>
      <w:r>
        <w:instrText xml:space="preserve"> HYPERLINK "http://www.gcu.ac.uk/futurelearning/studentinformation/" </w:instrText>
      </w:r>
      <w:r>
        <w:fldChar w:fldCharType="separate"/>
      </w:r>
    </w:p>
    <w:p w:rsidR="007C613B" w:rsidRDefault="00F0328A">
      <w:pPr>
        <w:jc w:val="both"/>
      </w:pPr>
      <w:r>
        <w:fldChar w:fldCharType="end"/>
      </w:r>
      <w:r>
        <w:t>Guidance for st</w:t>
      </w:r>
      <w:r>
        <w:t xml:space="preserve">udents on the use of </w:t>
      </w:r>
      <w:proofErr w:type="spellStart"/>
      <w:r>
        <w:t>Turnitin</w:t>
      </w:r>
      <w:proofErr w:type="spellEnd"/>
      <w:r>
        <w:t xml:space="preserve"> Feedback Studio for similarity checking and online submission is included in the appendices of the </w:t>
      </w:r>
      <w:hyperlink r:id="rId15">
        <w:r>
          <w:rPr>
            <w:color w:val="1155CC"/>
            <w:u w:val="single"/>
          </w:rPr>
          <w:t>GCU</w:t>
        </w:r>
        <w:r>
          <w:rPr>
            <w:color w:val="1155CC"/>
            <w:u w:val="single"/>
          </w:rPr>
          <w:t xml:space="preserve"> Online Similarity Checking Policy</w:t>
        </w:r>
      </w:hyperlink>
      <w:r>
        <w:t>. School Learning Technologists and the Learning Development Centres can also provide support with this.</w:t>
      </w:r>
    </w:p>
    <w:p w:rsidR="007C613B" w:rsidRDefault="007C613B">
      <w:pPr>
        <w:jc w:val="both"/>
      </w:pPr>
    </w:p>
    <w:p w:rsidR="007C613B" w:rsidRDefault="00F0328A">
      <w:pPr>
        <w:jc w:val="both"/>
      </w:pPr>
      <w:r>
        <w:t xml:space="preserve"> </w:t>
      </w:r>
    </w:p>
    <w:p w:rsidR="007C613B" w:rsidRDefault="00F0328A">
      <w:pPr>
        <w:jc w:val="both"/>
        <w:rPr>
          <w:b/>
          <w:sz w:val="24"/>
          <w:szCs w:val="24"/>
        </w:rPr>
      </w:pPr>
      <w:r>
        <w:rPr>
          <w:b/>
          <w:sz w:val="24"/>
          <w:szCs w:val="24"/>
        </w:rPr>
        <w:t>2. Online quizzes and tests</w:t>
      </w:r>
    </w:p>
    <w:p w:rsidR="007C613B" w:rsidRDefault="007C613B">
      <w:pPr>
        <w:jc w:val="both"/>
        <w:rPr>
          <w:b/>
          <w:sz w:val="24"/>
          <w:szCs w:val="24"/>
        </w:rPr>
      </w:pPr>
    </w:p>
    <w:p w:rsidR="007C613B" w:rsidRDefault="00F0328A">
      <w:pPr>
        <w:jc w:val="both"/>
      </w:pPr>
      <w:r>
        <w:t xml:space="preserve">Online </w:t>
      </w:r>
      <w:r>
        <w:rPr>
          <w:b/>
        </w:rPr>
        <w:t>multiple choice tests (MCQs)</w:t>
      </w:r>
      <w:r>
        <w:t xml:space="preserve"> are a popular choice and are commonly used for both formative and summative assessments. They are often used to test knowledge, but they can also be constructed to assess understanding and the application of knowledge. An advantage for students is that th</w:t>
      </w:r>
      <w:r>
        <w:t xml:space="preserve">ey receive immediate feedback on their performance. </w:t>
      </w:r>
      <w:r>
        <w:rPr>
          <w:noProof/>
        </w:rPr>
        <w:drawing>
          <wp:anchor distT="228600" distB="228600" distL="228600" distR="228600" simplePos="0" relativeHeight="251659264" behindDoc="0" locked="0" layoutInCell="1" hidden="0" allowOverlap="1">
            <wp:simplePos x="0" y="0"/>
            <wp:positionH relativeFrom="margin">
              <wp:posOffset>-171449</wp:posOffset>
            </wp:positionH>
            <wp:positionV relativeFrom="paragraph">
              <wp:posOffset>742950</wp:posOffset>
            </wp:positionV>
            <wp:extent cx="2862263" cy="3133725"/>
            <wp:effectExtent l="12700" t="12700" r="12700" b="12700"/>
            <wp:wrapSquare wrapText="bothSides" distT="228600" distB="228600" distL="228600" distR="22860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2862263" cy="3133725"/>
                    </a:xfrm>
                    <a:prstGeom prst="rect">
                      <a:avLst/>
                    </a:prstGeom>
                    <a:ln w="12700">
                      <a:solidFill>
                        <a:srgbClr val="000000"/>
                      </a:solidFill>
                      <a:prstDash val="solid"/>
                    </a:ln>
                  </pic:spPr>
                </pic:pic>
              </a:graphicData>
            </a:graphic>
          </wp:anchor>
        </w:drawing>
      </w:r>
    </w:p>
    <w:p w:rsidR="007C613B" w:rsidRDefault="007C613B">
      <w:pPr>
        <w:jc w:val="both"/>
      </w:pPr>
    </w:p>
    <w:p w:rsidR="007C613B" w:rsidRDefault="00F0328A">
      <w:pPr>
        <w:jc w:val="both"/>
      </w:pPr>
      <w:r>
        <w:t xml:space="preserve">The most commonly used MCQ application in GCU is the </w:t>
      </w:r>
      <w:proofErr w:type="spellStart"/>
      <w:r>
        <w:rPr>
          <w:b/>
        </w:rPr>
        <w:t>GCULearn</w:t>
      </w:r>
      <w:proofErr w:type="spellEnd"/>
      <w:r>
        <w:rPr>
          <w:b/>
        </w:rPr>
        <w:t xml:space="preserve"> quiz too</w:t>
      </w:r>
      <w:r>
        <w:t>l. For regular use, banks of questions can be developed and presented to students in a randomised fashion. Question types range fro</w:t>
      </w:r>
      <w:r>
        <w:t xml:space="preserve">m a basic true/false option to multiple choice, hotspots, fill in the blanks and essay questions. For support in setting up a test in </w:t>
      </w:r>
      <w:proofErr w:type="spellStart"/>
      <w:r>
        <w:t>GCULearn</w:t>
      </w:r>
      <w:proofErr w:type="spellEnd"/>
      <w:r>
        <w:t xml:space="preserve">, please contact </w:t>
      </w:r>
      <w:proofErr w:type="gramStart"/>
      <w:r>
        <w:t>your</w:t>
      </w:r>
      <w:proofErr w:type="gramEnd"/>
      <w:r>
        <w:t xml:space="preserve"> School Learning Technologists. You can also access </w:t>
      </w:r>
      <w:hyperlink r:id="rId17">
        <w:r>
          <w:rPr>
            <w:color w:val="1155CC"/>
            <w:u w:val="single"/>
          </w:rPr>
          <w:t>Blackboard training videos</w:t>
        </w:r>
      </w:hyperlink>
      <w:r>
        <w:t xml:space="preserve"> on YouTube.</w:t>
      </w:r>
    </w:p>
    <w:p w:rsidR="007C613B" w:rsidRDefault="00F0328A">
      <w:pPr>
        <w:jc w:val="both"/>
      </w:pPr>
      <w:r>
        <w:t xml:space="preserve"> </w:t>
      </w:r>
    </w:p>
    <w:p w:rsidR="007C613B" w:rsidRDefault="00F0328A">
      <w:pPr>
        <w:jc w:val="both"/>
      </w:pPr>
      <w:r>
        <w:t xml:space="preserve">For STEM subjects, other tools, such as </w:t>
      </w:r>
      <w:hyperlink r:id="rId18">
        <w:r>
          <w:rPr>
            <w:color w:val="1155CC"/>
            <w:u w:val="single"/>
          </w:rPr>
          <w:t>Maple TA</w:t>
        </w:r>
      </w:hyperlink>
      <w:r>
        <w:t xml:space="preserve"> , are also in use in some parts of the University.</w:t>
      </w:r>
    </w:p>
    <w:p w:rsidR="007C613B" w:rsidRDefault="007C613B">
      <w:pPr>
        <w:jc w:val="both"/>
      </w:pPr>
    </w:p>
    <w:p w:rsidR="007C613B" w:rsidRDefault="00F0328A">
      <w:pPr>
        <w:jc w:val="both"/>
      </w:pPr>
      <w:r>
        <w:t>If a test is being used for a summative assessment, it is particularly important to make sure that:</w:t>
      </w:r>
    </w:p>
    <w:p w:rsidR="007C613B" w:rsidRDefault="00F0328A">
      <w:pPr>
        <w:jc w:val="both"/>
      </w:pPr>
      <w:r>
        <w:t xml:space="preserve"> </w:t>
      </w:r>
    </w:p>
    <w:p w:rsidR="007C613B" w:rsidRDefault="00F0328A">
      <w:pPr>
        <w:ind w:left="1080" w:hanging="360"/>
        <w:jc w:val="both"/>
      </w:pPr>
      <w:r>
        <w:t>●</w:t>
      </w:r>
      <w:r>
        <w:rPr>
          <w:sz w:val="14"/>
          <w:szCs w:val="14"/>
        </w:rPr>
        <w:t xml:space="preserve">     </w:t>
      </w:r>
      <w:proofErr w:type="gramStart"/>
      <w:r>
        <w:t>The</w:t>
      </w:r>
      <w:proofErr w:type="gramEnd"/>
      <w:r>
        <w:t xml:space="preserve"> test has been </w:t>
      </w:r>
      <w:r>
        <w:rPr>
          <w:b/>
        </w:rPr>
        <w:t xml:space="preserve">piloted </w:t>
      </w:r>
      <w:r>
        <w:t>successfully</w:t>
      </w:r>
    </w:p>
    <w:p w:rsidR="007C613B" w:rsidRDefault="00F0328A">
      <w:pPr>
        <w:ind w:left="1080" w:hanging="360"/>
        <w:jc w:val="both"/>
      </w:pPr>
      <w:r>
        <w:t>●</w:t>
      </w:r>
      <w:r>
        <w:rPr>
          <w:sz w:val="14"/>
          <w:szCs w:val="14"/>
        </w:rPr>
        <w:t xml:space="preserve">     </w:t>
      </w:r>
      <w:r>
        <w:t xml:space="preserve">Students are </w:t>
      </w:r>
      <w:r>
        <w:rPr>
          <w:b/>
        </w:rPr>
        <w:t xml:space="preserve">familiar </w:t>
      </w:r>
      <w:r>
        <w:t>with the technology</w:t>
      </w:r>
    </w:p>
    <w:p w:rsidR="007C613B" w:rsidRDefault="00F0328A">
      <w:pPr>
        <w:ind w:left="1080" w:hanging="360"/>
        <w:jc w:val="both"/>
      </w:pPr>
      <w:r>
        <w:t>●</w:t>
      </w:r>
      <w:r>
        <w:rPr>
          <w:sz w:val="14"/>
          <w:szCs w:val="14"/>
        </w:rPr>
        <w:t xml:space="preserve">     </w:t>
      </w:r>
      <w:proofErr w:type="gramStart"/>
      <w:r>
        <w:t>Appropriate</w:t>
      </w:r>
      <w:proofErr w:type="gramEnd"/>
      <w:r>
        <w:t xml:space="preserve"> </w:t>
      </w:r>
      <w:r>
        <w:rPr>
          <w:b/>
        </w:rPr>
        <w:t xml:space="preserve">alternatives </w:t>
      </w:r>
      <w:r>
        <w:t>are available for students who</w:t>
      </w:r>
      <w:r>
        <w:t xml:space="preserve"> need them</w:t>
      </w:r>
    </w:p>
    <w:p w:rsidR="007C613B" w:rsidRDefault="00F0328A">
      <w:pPr>
        <w:ind w:left="1080" w:hanging="360"/>
        <w:jc w:val="both"/>
        <w:rPr>
          <w:b/>
        </w:rPr>
      </w:pPr>
      <w:r>
        <w:t>●</w:t>
      </w:r>
      <w:r>
        <w:rPr>
          <w:sz w:val="14"/>
          <w:szCs w:val="14"/>
        </w:rPr>
        <w:t xml:space="preserve">     </w:t>
      </w:r>
      <w:r>
        <w:t xml:space="preserve">Opportunities for plagiarism are </w:t>
      </w:r>
      <w:r>
        <w:rPr>
          <w:b/>
        </w:rPr>
        <w:t>minimised</w:t>
      </w:r>
    </w:p>
    <w:p w:rsidR="007C613B" w:rsidRDefault="00F0328A">
      <w:pPr>
        <w:ind w:left="1080" w:hanging="360"/>
        <w:jc w:val="both"/>
      </w:pPr>
      <w:r>
        <w:lastRenderedPageBreak/>
        <w:t>●</w:t>
      </w:r>
      <w:r>
        <w:rPr>
          <w:sz w:val="14"/>
          <w:szCs w:val="14"/>
        </w:rPr>
        <w:t xml:space="preserve">     </w:t>
      </w:r>
      <w:proofErr w:type="gramStart"/>
      <w:r>
        <w:t>For</w:t>
      </w:r>
      <w:proofErr w:type="gramEnd"/>
      <w:r>
        <w:t xml:space="preserve"> high stakes online tests, appropriate procedures are in place for </w:t>
      </w:r>
      <w:r>
        <w:rPr>
          <w:b/>
        </w:rPr>
        <w:t xml:space="preserve">invigilation </w:t>
      </w:r>
      <w:r>
        <w:t>in labs or off-campus, in line with the Academic Registry requirements.</w:t>
      </w:r>
    </w:p>
    <w:p w:rsidR="007C613B" w:rsidRDefault="00F0328A">
      <w:pPr>
        <w:ind w:left="1080" w:hanging="360"/>
        <w:jc w:val="both"/>
      </w:pPr>
      <w:r>
        <w:t>●</w:t>
      </w:r>
      <w:r>
        <w:rPr>
          <w:sz w:val="14"/>
          <w:szCs w:val="14"/>
        </w:rPr>
        <w:t xml:space="preserve">     </w:t>
      </w:r>
      <w:r>
        <w:t>Where large numbers of studen</w:t>
      </w:r>
      <w:r>
        <w:t xml:space="preserve">ts (&gt;100) will be undertaking an online MCQ test simultaneously on </w:t>
      </w:r>
      <w:proofErr w:type="spellStart"/>
      <w:r>
        <w:t>GCULearn</w:t>
      </w:r>
      <w:proofErr w:type="spellEnd"/>
      <w:r>
        <w:t xml:space="preserve">, </w:t>
      </w:r>
      <w:r>
        <w:rPr>
          <w:b/>
        </w:rPr>
        <w:t>Information Services and Blackboard have been informed in advance</w:t>
      </w:r>
      <w:r>
        <w:t xml:space="preserve"> to allow them to provide increased bandwidth/server capacity if necessary. </w:t>
      </w:r>
    </w:p>
    <w:p w:rsidR="007C613B" w:rsidRDefault="00F0328A">
      <w:pPr>
        <w:ind w:left="1080" w:hanging="360"/>
        <w:jc w:val="both"/>
      </w:pPr>
      <w:r>
        <w:t>●</w:t>
      </w:r>
      <w:r>
        <w:rPr>
          <w:sz w:val="14"/>
          <w:szCs w:val="14"/>
        </w:rPr>
        <w:t xml:space="preserve">    </w:t>
      </w:r>
      <w:r>
        <w:rPr>
          <w:b/>
          <w:sz w:val="14"/>
          <w:szCs w:val="14"/>
        </w:rPr>
        <w:t xml:space="preserve"> </w:t>
      </w:r>
      <w:r>
        <w:rPr>
          <w:b/>
        </w:rPr>
        <w:t>Contingency plans</w:t>
      </w:r>
      <w:r>
        <w:t xml:space="preserve"> are in place </w:t>
      </w:r>
      <w:r>
        <w:t>in the unlikely scenario of technology or internet failure.</w:t>
      </w:r>
    </w:p>
    <w:p w:rsidR="007C613B" w:rsidRDefault="007C613B">
      <w:pPr>
        <w:jc w:val="both"/>
        <w:rPr>
          <w:b/>
          <w:sz w:val="24"/>
          <w:szCs w:val="24"/>
        </w:rPr>
      </w:pPr>
    </w:p>
    <w:p w:rsidR="007C613B" w:rsidRDefault="00F0328A">
      <w:pPr>
        <w:jc w:val="both"/>
        <w:rPr>
          <w:b/>
          <w:sz w:val="24"/>
          <w:szCs w:val="24"/>
        </w:rPr>
      </w:pPr>
      <w:r>
        <w:rPr>
          <w:b/>
          <w:sz w:val="24"/>
          <w:szCs w:val="24"/>
        </w:rPr>
        <w:t>3. Assessed discussion boards, blogs, wikis, journals and e-portfolios</w:t>
      </w:r>
    </w:p>
    <w:p w:rsidR="007C613B" w:rsidRDefault="007C613B">
      <w:pPr>
        <w:jc w:val="both"/>
        <w:rPr>
          <w:b/>
          <w:sz w:val="24"/>
          <w:szCs w:val="24"/>
        </w:rPr>
      </w:pPr>
    </w:p>
    <w:p w:rsidR="007C613B" w:rsidRDefault="00F0328A">
      <w:pPr>
        <w:jc w:val="both"/>
      </w:pPr>
      <w:proofErr w:type="spellStart"/>
      <w:r>
        <w:t>GCULearn</w:t>
      </w:r>
      <w:proofErr w:type="spellEnd"/>
      <w:r>
        <w:t xml:space="preserve"> discussion boards and e-portfolios, and Campus Pack blogs, wikis, and journals are often used for </w:t>
      </w:r>
      <w:r>
        <w:rPr>
          <w:b/>
        </w:rPr>
        <w:t>reflective assignments</w:t>
      </w:r>
      <w:r>
        <w:t xml:space="preserve">, </w:t>
      </w:r>
      <w:r>
        <w:rPr>
          <w:b/>
        </w:rPr>
        <w:t xml:space="preserve">reports </w:t>
      </w:r>
      <w:r>
        <w:t xml:space="preserve">and </w:t>
      </w:r>
      <w:r>
        <w:rPr>
          <w:b/>
        </w:rPr>
        <w:t>collaborative group work</w:t>
      </w:r>
      <w:r>
        <w:t xml:space="preserve">. These applications are supported by the University.  </w:t>
      </w:r>
    </w:p>
    <w:p w:rsidR="007C613B" w:rsidRDefault="007C613B">
      <w:pPr>
        <w:jc w:val="both"/>
      </w:pPr>
    </w:p>
    <w:p w:rsidR="007C613B" w:rsidRDefault="00F0328A">
      <w:pPr>
        <w:jc w:val="center"/>
      </w:pPr>
      <w:r>
        <w:rPr>
          <w:noProof/>
        </w:rPr>
        <w:drawing>
          <wp:inline distT="114300" distB="114300" distL="114300" distR="114300">
            <wp:extent cx="4682963" cy="2868761"/>
            <wp:effectExtent l="12700" t="12700" r="12700" b="1270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682963" cy="2868761"/>
                    </a:xfrm>
                    <a:prstGeom prst="rect">
                      <a:avLst/>
                    </a:prstGeom>
                    <a:ln w="12700">
                      <a:solidFill>
                        <a:srgbClr val="000000"/>
                      </a:solidFill>
                      <a:prstDash val="solid"/>
                    </a:ln>
                  </pic:spPr>
                </pic:pic>
              </a:graphicData>
            </a:graphic>
          </wp:inline>
        </w:drawing>
      </w:r>
    </w:p>
    <w:p w:rsidR="007C613B" w:rsidRDefault="007C613B">
      <w:pPr>
        <w:jc w:val="both"/>
      </w:pPr>
    </w:p>
    <w:p w:rsidR="007C613B" w:rsidRDefault="00F0328A">
      <w:pPr>
        <w:jc w:val="both"/>
      </w:pPr>
      <w:r>
        <w:t>Again, it is important to ensure that:</w:t>
      </w:r>
    </w:p>
    <w:p w:rsidR="007C613B" w:rsidRDefault="00F0328A">
      <w:pPr>
        <w:jc w:val="both"/>
      </w:pPr>
      <w:r>
        <w:t xml:space="preserve"> </w:t>
      </w:r>
    </w:p>
    <w:p w:rsidR="007C613B" w:rsidRDefault="00F0328A">
      <w:pPr>
        <w:ind w:left="1080" w:hanging="360"/>
        <w:jc w:val="both"/>
      </w:pPr>
      <w:r>
        <w:t>●</w:t>
      </w:r>
      <w:r>
        <w:rPr>
          <w:sz w:val="14"/>
          <w:szCs w:val="14"/>
        </w:rPr>
        <w:t xml:space="preserve">     </w:t>
      </w:r>
      <w:r>
        <w:t xml:space="preserve">Students are </w:t>
      </w:r>
      <w:r>
        <w:rPr>
          <w:b/>
        </w:rPr>
        <w:t xml:space="preserve">familiar </w:t>
      </w:r>
      <w:r>
        <w:t>with the technology</w:t>
      </w:r>
    </w:p>
    <w:p w:rsidR="007C613B" w:rsidRDefault="00F0328A">
      <w:pPr>
        <w:ind w:left="1080" w:hanging="360"/>
        <w:jc w:val="both"/>
      </w:pPr>
      <w:r>
        <w:t>●</w:t>
      </w:r>
      <w:r>
        <w:rPr>
          <w:sz w:val="14"/>
          <w:szCs w:val="14"/>
        </w:rPr>
        <w:t xml:space="preserve">     </w:t>
      </w:r>
      <w:r>
        <w:rPr>
          <w:b/>
        </w:rPr>
        <w:t>Clear instructions</w:t>
      </w:r>
      <w:r>
        <w:t xml:space="preserve"> have been provided for</w:t>
      </w:r>
      <w:r>
        <w:t xml:space="preserve"> the assignment</w:t>
      </w:r>
    </w:p>
    <w:p w:rsidR="007C613B" w:rsidRDefault="00F0328A">
      <w:pPr>
        <w:ind w:left="1080" w:hanging="360"/>
        <w:jc w:val="both"/>
      </w:pPr>
      <w:r>
        <w:t>●</w:t>
      </w:r>
      <w:r>
        <w:rPr>
          <w:sz w:val="14"/>
          <w:szCs w:val="14"/>
        </w:rPr>
        <w:t xml:space="preserve">     </w:t>
      </w:r>
      <w:r>
        <w:rPr>
          <w:b/>
        </w:rPr>
        <w:t>Grading criteria</w:t>
      </w:r>
      <w:r>
        <w:t xml:space="preserve"> have been made available in advance</w:t>
      </w:r>
    </w:p>
    <w:p w:rsidR="007C613B" w:rsidRDefault="00F0328A">
      <w:pPr>
        <w:ind w:left="1080" w:hanging="360"/>
        <w:jc w:val="both"/>
      </w:pPr>
      <w:r>
        <w:t>●</w:t>
      </w:r>
      <w:r>
        <w:rPr>
          <w:sz w:val="14"/>
          <w:szCs w:val="14"/>
        </w:rPr>
        <w:t xml:space="preserve">    </w:t>
      </w:r>
      <w:r>
        <w:t xml:space="preserve">Collaborative group work is carefully managed and that </w:t>
      </w:r>
      <w:r>
        <w:rPr>
          <w:b/>
        </w:rPr>
        <w:t>grading is transparent and fair</w:t>
      </w:r>
      <w:r>
        <w:t xml:space="preserve"> to all participants.</w:t>
      </w:r>
    </w:p>
    <w:p w:rsidR="007C613B" w:rsidRDefault="00F0328A">
      <w:pPr>
        <w:ind w:left="1080" w:hanging="360"/>
        <w:jc w:val="both"/>
      </w:pPr>
      <w:proofErr w:type="gramStart"/>
      <w:r>
        <w:t>●</w:t>
      </w:r>
      <w:r>
        <w:rPr>
          <w:sz w:val="14"/>
          <w:szCs w:val="14"/>
        </w:rPr>
        <w:t xml:space="preserve">  </w:t>
      </w:r>
      <w:r>
        <w:t>Where</w:t>
      </w:r>
      <w:proofErr w:type="gramEnd"/>
      <w:r>
        <w:t xml:space="preserve"> alternative, social media applications are used (e.g. Googl</w:t>
      </w:r>
      <w:r>
        <w:t>e Docs, WordPress, YouTube) -</w:t>
      </w:r>
    </w:p>
    <w:p w:rsidR="007C613B" w:rsidRDefault="007C613B">
      <w:pPr>
        <w:ind w:left="1080" w:hanging="360"/>
        <w:jc w:val="both"/>
      </w:pPr>
    </w:p>
    <w:p w:rsidR="007C613B" w:rsidRDefault="00F0328A">
      <w:pPr>
        <w:ind w:left="1800" w:hanging="360"/>
        <w:jc w:val="both"/>
      </w:pPr>
      <w:r>
        <w:t>○</w:t>
      </w:r>
      <w:r>
        <w:rPr>
          <w:sz w:val="14"/>
          <w:szCs w:val="14"/>
        </w:rPr>
        <w:t xml:space="preserve">     </w:t>
      </w:r>
      <w:r>
        <w:t xml:space="preserve">refer to the </w:t>
      </w:r>
      <w:hyperlink r:id="rId20">
        <w:r>
          <w:rPr>
            <w:color w:val="1155CC"/>
            <w:u w:val="single"/>
          </w:rPr>
          <w:t>GCU Social Media Guidelines for Learning and Teaching</w:t>
        </w:r>
      </w:hyperlink>
      <w:r>
        <w:t xml:space="preserve"> (pdf</w:t>
      </w:r>
      <w:proofErr w:type="gramStart"/>
      <w:r>
        <w:t xml:space="preserve">) </w:t>
      </w:r>
      <w:r>
        <w:t xml:space="preserve"> which</w:t>
      </w:r>
      <w:proofErr w:type="gramEnd"/>
      <w:r>
        <w:t xml:space="preserve"> are available on </w:t>
      </w:r>
      <w:proofErr w:type="spellStart"/>
      <w:r>
        <w:t>GCULearn</w:t>
      </w:r>
      <w:proofErr w:type="spellEnd"/>
    </w:p>
    <w:p w:rsidR="007C613B" w:rsidRDefault="00F0328A">
      <w:pPr>
        <w:ind w:left="1800" w:hanging="360"/>
        <w:jc w:val="both"/>
      </w:pPr>
      <w:r>
        <w:t>○</w:t>
      </w:r>
      <w:r>
        <w:rPr>
          <w:sz w:val="14"/>
          <w:szCs w:val="14"/>
        </w:rPr>
        <w:t xml:space="preserve">     </w:t>
      </w:r>
      <w:r>
        <w:t xml:space="preserve">create </w:t>
      </w:r>
      <w:r>
        <w:rPr>
          <w:b/>
        </w:rPr>
        <w:t>backup plans</w:t>
      </w:r>
      <w:r>
        <w:t xml:space="preserve"> for submission and storage of student assignments as social media applications are not centrally supported by GCU</w:t>
      </w:r>
    </w:p>
    <w:p w:rsidR="007C613B" w:rsidRDefault="007C613B">
      <w:pPr>
        <w:ind w:left="1800" w:hanging="360"/>
        <w:jc w:val="both"/>
      </w:pPr>
    </w:p>
    <w:p w:rsidR="007C613B" w:rsidRDefault="00F0328A">
      <w:pPr>
        <w:ind w:left="360"/>
        <w:jc w:val="center"/>
      </w:pPr>
      <w:r>
        <w:rPr>
          <w:noProof/>
        </w:rPr>
        <w:lastRenderedPageBreak/>
        <w:drawing>
          <wp:inline distT="114300" distB="114300" distL="114300" distR="114300">
            <wp:extent cx="4652963" cy="2114983"/>
            <wp:effectExtent l="12700" t="12700" r="12700" b="1270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4652963" cy="2114983"/>
                    </a:xfrm>
                    <a:prstGeom prst="rect">
                      <a:avLst/>
                    </a:prstGeom>
                    <a:ln w="12700">
                      <a:solidFill>
                        <a:srgbClr val="000000"/>
                      </a:solidFill>
                      <a:prstDash val="solid"/>
                    </a:ln>
                  </pic:spPr>
                </pic:pic>
              </a:graphicData>
            </a:graphic>
          </wp:inline>
        </w:drawing>
      </w:r>
    </w:p>
    <w:p w:rsidR="007C613B" w:rsidRDefault="00F0328A">
      <w:pPr>
        <w:ind w:left="1800" w:hanging="360"/>
        <w:jc w:val="both"/>
        <w:rPr>
          <w:i/>
          <w:sz w:val="20"/>
          <w:szCs w:val="20"/>
        </w:rPr>
      </w:pPr>
      <w:r>
        <w:rPr>
          <w:sz w:val="20"/>
          <w:szCs w:val="20"/>
        </w:rPr>
        <w:t xml:space="preserve">       </w:t>
      </w:r>
      <w:r>
        <w:rPr>
          <w:i/>
          <w:sz w:val="20"/>
          <w:szCs w:val="20"/>
        </w:rPr>
        <w:t xml:space="preserve"> Example criteria for assessing a discussion forum</w:t>
      </w:r>
    </w:p>
    <w:p w:rsidR="007C613B" w:rsidRDefault="00F0328A">
      <w:pPr>
        <w:jc w:val="both"/>
        <w:rPr>
          <w:b/>
        </w:rPr>
      </w:pPr>
      <w:r>
        <w:t xml:space="preserve"> </w:t>
      </w:r>
    </w:p>
    <w:p w:rsidR="007C613B" w:rsidRDefault="00F0328A">
      <w:pPr>
        <w:jc w:val="both"/>
        <w:rPr>
          <w:b/>
          <w:sz w:val="24"/>
          <w:szCs w:val="24"/>
        </w:rPr>
      </w:pPr>
      <w:r>
        <w:rPr>
          <w:b/>
          <w:sz w:val="24"/>
          <w:szCs w:val="24"/>
        </w:rPr>
        <w:t xml:space="preserve">4. Assessed student </w:t>
      </w:r>
      <w:r>
        <w:rPr>
          <w:b/>
          <w:sz w:val="24"/>
          <w:szCs w:val="24"/>
        </w:rPr>
        <w:t>work using PowerPoint, Prezi, audio or video</w:t>
      </w:r>
    </w:p>
    <w:p w:rsidR="007C613B" w:rsidRDefault="007C613B">
      <w:pPr>
        <w:jc w:val="both"/>
      </w:pPr>
    </w:p>
    <w:p w:rsidR="007C613B" w:rsidRDefault="00F0328A">
      <w:pPr>
        <w:jc w:val="both"/>
      </w:pPr>
      <w:r>
        <w:t>Students can also be encouraged to use technology in creative ways for assessed presentations, reports and critical reviews with a variety of visual, video and audio applications.  When considering the use of a</w:t>
      </w:r>
      <w:r>
        <w:t xml:space="preserve"> new application to assess students</w:t>
      </w:r>
      <w:proofErr w:type="gramStart"/>
      <w:r>
        <w:t>,  points</w:t>
      </w:r>
      <w:proofErr w:type="gramEnd"/>
      <w:r>
        <w:t xml:space="preserve"> to consider include:</w:t>
      </w:r>
    </w:p>
    <w:p w:rsidR="007C613B" w:rsidRDefault="00F0328A">
      <w:pPr>
        <w:jc w:val="both"/>
        <w:rPr>
          <w:sz w:val="14"/>
          <w:szCs w:val="14"/>
        </w:rPr>
      </w:pPr>
      <w:r>
        <w:t xml:space="preserve"> </w:t>
      </w:r>
    </w:p>
    <w:p w:rsidR="007C613B" w:rsidRDefault="00F0328A">
      <w:pPr>
        <w:numPr>
          <w:ilvl w:val="0"/>
          <w:numId w:val="1"/>
        </w:numPr>
        <w:contextualSpacing/>
        <w:jc w:val="both"/>
      </w:pPr>
      <w:r>
        <w:t xml:space="preserve">the </w:t>
      </w:r>
      <w:r>
        <w:rPr>
          <w:b/>
        </w:rPr>
        <w:t>discussion of options</w:t>
      </w:r>
      <w:r>
        <w:t xml:space="preserve"> with the School Learning Technologists</w:t>
      </w:r>
    </w:p>
    <w:p w:rsidR="007C613B" w:rsidRDefault="00F0328A">
      <w:pPr>
        <w:numPr>
          <w:ilvl w:val="0"/>
          <w:numId w:val="1"/>
        </w:numPr>
        <w:contextualSpacing/>
        <w:jc w:val="both"/>
      </w:pPr>
      <w:r>
        <w:rPr>
          <w:b/>
        </w:rPr>
        <w:t>storage arrangements</w:t>
      </w:r>
      <w:r>
        <w:t xml:space="preserve"> for large audio or video files</w:t>
      </w:r>
    </w:p>
    <w:p w:rsidR="007C613B" w:rsidRDefault="00F0328A">
      <w:pPr>
        <w:numPr>
          <w:ilvl w:val="0"/>
          <w:numId w:val="1"/>
        </w:numPr>
        <w:contextualSpacing/>
        <w:jc w:val="both"/>
      </w:pPr>
      <w:proofErr w:type="gramStart"/>
      <w:r>
        <w:t>students</w:t>
      </w:r>
      <w:proofErr w:type="gramEnd"/>
      <w:r>
        <w:t xml:space="preserve">’ and module tutors’ understanding of  the </w:t>
      </w:r>
      <w:r>
        <w:rPr>
          <w:b/>
        </w:rPr>
        <w:t>relevance and benefits</w:t>
      </w:r>
      <w:r>
        <w:t xml:space="preserve"> of different technologies in the context of the set assignment.</w:t>
      </w:r>
    </w:p>
    <w:p w:rsidR="007C613B" w:rsidRDefault="00F0328A">
      <w:pPr>
        <w:numPr>
          <w:ilvl w:val="0"/>
          <w:numId w:val="1"/>
        </w:numPr>
        <w:contextualSpacing/>
        <w:jc w:val="both"/>
      </w:pPr>
      <w:r>
        <w:t xml:space="preserve">availability of </w:t>
      </w:r>
      <w:r>
        <w:rPr>
          <w:b/>
        </w:rPr>
        <w:t xml:space="preserve">alternatives </w:t>
      </w:r>
      <w:r>
        <w:t>to ensure accessibility for all students</w:t>
      </w:r>
    </w:p>
    <w:p w:rsidR="007C613B" w:rsidRDefault="00F0328A">
      <w:pPr>
        <w:numPr>
          <w:ilvl w:val="0"/>
          <w:numId w:val="1"/>
        </w:numPr>
        <w:contextualSpacing/>
        <w:jc w:val="both"/>
      </w:pPr>
      <w:r>
        <w:t xml:space="preserve">access to </w:t>
      </w:r>
      <w:r>
        <w:rPr>
          <w:b/>
        </w:rPr>
        <w:t>training and support</w:t>
      </w:r>
      <w:r>
        <w:t xml:space="preserve"> for the technologies used</w:t>
      </w:r>
    </w:p>
    <w:p w:rsidR="007C613B" w:rsidRDefault="00F0328A">
      <w:pPr>
        <w:numPr>
          <w:ilvl w:val="0"/>
          <w:numId w:val="1"/>
        </w:numPr>
        <w:contextualSpacing/>
        <w:jc w:val="both"/>
      </w:pPr>
      <w:r>
        <w:t xml:space="preserve">access to necessary </w:t>
      </w:r>
      <w:r>
        <w:rPr>
          <w:b/>
        </w:rPr>
        <w:t>equipment</w:t>
      </w:r>
      <w:r>
        <w:t xml:space="preserve"> such as came</w:t>
      </w:r>
      <w:r>
        <w:t>ras, webcams and mics</w:t>
      </w:r>
    </w:p>
    <w:p w:rsidR="007C613B" w:rsidRDefault="007C613B"/>
    <w:p w:rsidR="007C613B" w:rsidRDefault="00F0328A">
      <w:pPr>
        <w:jc w:val="both"/>
      </w:pPr>
      <w:r>
        <w:t xml:space="preserve">An example from the University of Southampton explains how they have used mobile phones for video for </w:t>
      </w:r>
      <w:hyperlink r:id="rId22">
        <w:r>
          <w:rPr>
            <w:color w:val="1155CC"/>
            <w:u w:val="single"/>
          </w:rPr>
          <w:t>the assessment of clinical skills</w:t>
        </w:r>
      </w:hyperlink>
      <w:r>
        <w:t xml:space="preserve"> (link to YouTube) in a nursin</w:t>
      </w:r>
      <w:r>
        <w:t xml:space="preserve">g programme. </w:t>
      </w:r>
    </w:p>
    <w:p w:rsidR="007C613B" w:rsidRDefault="007C613B">
      <w:pPr>
        <w:jc w:val="both"/>
      </w:pPr>
    </w:p>
    <w:p w:rsidR="007C613B" w:rsidRDefault="00F0328A">
      <w:pPr>
        <w:jc w:val="center"/>
      </w:pPr>
      <w:r>
        <w:rPr>
          <w:noProof/>
        </w:rPr>
        <w:drawing>
          <wp:inline distT="114300" distB="114300" distL="114300" distR="114300">
            <wp:extent cx="3975346" cy="2090738"/>
            <wp:effectExtent l="12700" t="12700" r="12700" b="1270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3975346" cy="2090738"/>
                    </a:xfrm>
                    <a:prstGeom prst="rect">
                      <a:avLst/>
                    </a:prstGeom>
                    <a:ln w="12700">
                      <a:solidFill>
                        <a:srgbClr val="000000"/>
                      </a:solidFill>
                      <a:prstDash val="solid"/>
                    </a:ln>
                  </pic:spPr>
                </pic:pic>
              </a:graphicData>
            </a:graphic>
          </wp:inline>
        </w:drawing>
      </w:r>
    </w:p>
    <w:p w:rsidR="007C613B" w:rsidRDefault="00F0328A">
      <w:pPr>
        <w:jc w:val="center"/>
      </w:pPr>
      <w:r>
        <w:rPr>
          <w:sz w:val="16"/>
          <w:szCs w:val="16"/>
        </w:rPr>
        <w:t xml:space="preserve">CC0 Public Domain Image from </w:t>
      </w:r>
      <w:hyperlink r:id="rId24">
        <w:r>
          <w:rPr>
            <w:color w:val="1155CC"/>
            <w:sz w:val="16"/>
            <w:szCs w:val="16"/>
            <w:u w:val="single"/>
          </w:rPr>
          <w:t>https://pixabay.com/en/smartphone-bluetooth-headset-1119314/</w:t>
        </w:r>
      </w:hyperlink>
      <w:r>
        <w:t xml:space="preserve"> </w:t>
      </w:r>
    </w:p>
    <w:p w:rsidR="007C613B" w:rsidRDefault="007C613B">
      <w:pPr>
        <w:rPr>
          <w:b/>
        </w:rPr>
      </w:pPr>
    </w:p>
    <w:p w:rsidR="005752E8" w:rsidRDefault="005752E8">
      <w:pPr>
        <w:rPr>
          <w:b/>
        </w:rPr>
      </w:pPr>
    </w:p>
    <w:p w:rsidR="005752E8" w:rsidRDefault="005752E8">
      <w:pPr>
        <w:rPr>
          <w:b/>
        </w:rPr>
      </w:pPr>
      <w:bookmarkStart w:id="1" w:name="_GoBack"/>
      <w:bookmarkEnd w:id="1"/>
    </w:p>
    <w:p w:rsidR="007C613B" w:rsidRDefault="00F0328A">
      <w:pPr>
        <w:rPr>
          <w:b/>
        </w:rPr>
      </w:pPr>
      <w:r>
        <w:rPr>
          <w:b/>
        </w:rPr>
        <w:lastRenderedPageBreak/>
        <w:t>5. Summary</w:t>
      </w:r>
    </w:p>
    <w:p w:rsidR="007C613B" w:rsidRDefault="007C613B">
      <w:pPr>
        <w:rPr>
          <w:b/>
        </w:rPr>
      </w:pPr>
    </w:p>
    <w:p w:rsidR="007C613B" w:rsidRDefault="00F0328A">
      <w:pPr>
        <w:rPr>
          <w:i/>
        </w:rPr>
      </w:pPr>
      <w:r>
        <w:t>Integrating digital forms of assessment into modules, both formative and summative, should be considered at the programme development stage and on an ongoing basis as programmes and modules are updated and re-approved. This approach not only enriches the l</w:t>
      </w:r>
      <w:r>
        <w:t xml:space="preserve">earning experience for students, but also helps to develop their digital capabilities and confidence. </w:t>
      </w:r>
      <w:proofErr w:type="spellStart"/>
      <w:r>
        <w:t>Jisc</w:t>
      </w:r>
      <w:proofErr w:type="spellEnd"/>
      <w:r>
        <w:t xml:space="preserve"> has defined this as, </w:t>
      </w:r>
    </w:p>
    <w:p w:rsidR="007C613B" w:rsidRDefault="007C613B">
      <w:pPr>
        <w:rPr>
          <w:i/>
        </w:rPr>
      </w:pPr>
    </w:p>
    <w:p w:rsidR="007C613B" w:rsidRDefault="00F0328A">
      <w:pPr>
        <w:rPr>
          <w:i/>
          <w:highlight w:val="white"/>
        </w:rPr>
      </w:pPr>
      <w:r>
        <w:rPr>
          <w:i/>
          <w:highlight w:val="white"/>
        </w:rPr>
        <w:t>"</w:t>
      </w:r>
      <w:proofErr w:type="gramStart"/>
      <w:r>
        <w:rPr>
          <w:i/>
          <w:highlight w:val="white"/>
        </w:rPr>
        <w:t>the</w:t>
      </w:r>
      <w:proofErr w:type="gramEnd"/>
      <w:r>
        <w:rPr>
          <w:i/>
          <w:highlight w:val="white"/>
        </w:rPr>
        <w:t xml:space="preserve"> capabilities which fit someone for living, learning and working in a digital society".</w:t>
      </w:r>
    </w:p>
    <w:p w:rsidR="007C613B" w:rsidRDefault="007C613B">
      <w:pPr>
        <w:rPr>
          <w:i/>
          <w:highlight w:val="white"/>
        </w:rPr>
      </w:pPr>
    </w:p>
    <w:p w:rsidR="007C613B" w:rsidRDefault="00F0328A">
      <w:pPr>
        <w:rPr>
          <w:highlight w:val="white"/>
        </w:rPr>
      </w:pPr>
      <w:r>
        <w:rPr>
          <w:highlight w:val="white"/>
        </w:rPr>
        <w:t xml:space="preserve">The </w:t>
      </w:r>
      <w:proofErr w:type="spellStart"/>
      <w:r>
        <w:rPr>
          <w:highlight w:val="white"/>
        </w:rPr>
        <w:t>Jic</w:t>
      </w:r>
      <w:proofErr w:type="spellEnd"/>
      <w:r>
        <w:rPr>
          <w:highlight w:val="white"/>
        </w:rPr>
        <w:t xml:space="preserve"> Digital Capabilities Fram</w:t>
      </w:r>
      <w:r>
        <w:rPr>
          <w:highlight w:val="white"/>
        </w:rPr>
        <w:t>ework</w:t>
      </w:r>
      <w:r>
        <w:rPr>
          <w:i/>
          <w:highlight w:val="white"/>
        </w:rPr>
        <w:t xml:space="preserve"> </w:t>
      </w:r>
      <w:r>
        <w:rPr>
          <w:highlight w:val="white"/>
        </w:rPr>
        <w:t>identifies 6 key elements, all of which can be addressed through the creative use of technology for assessment.</w:t>
      </w:r>
    </w:p>
    <w:p w:rsidR="007C613B" w:rsidRDefault="00F0328A">
      <w:pPr>
        <w:jc w:val="center"/>
        <w:rPr>
          <w:highlight w:val="white"/>
        </w:rPr>
      </w:pPr>
      <w:r>
        <w:rPr>
          <w:noProof/>
          <w:highlight w:val="white"/>
        </w:rPr>
        <w:drawing>
          <wp:inline distT="114300" distB="114300" distL="114300" distR="114300">
            <wp:extent cx="4786313" cy="3665266"/>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
                    <a:srcRect/>
                    <a:stretch>
                      <a:fillRect/>
                    </a:stretch>
                  </pic:blipFill>
                  <pic:spPr>
                    <a:xfrm>
                      <a:off x="0" y="0"/>
                      <a:ext cx="4786313" cy="3665266"/>
                    </a:xfrm>
                    <a:prstGeom prst="rect">
                      <a:avLst/>
                    </a:prstGeom>
                    <a:ln/>
                  </pic:spPr>
                </pic:pic>
              </a:graphicData>
            </a:graphic>
          </wp:inline>
        </w:drawing>
      </w:r>
    </w:p>
    <w:p w:rsidR="007C613B" w:rsidRDefault="00F0328A">
      <w:pPr>
        <w:jc w:val="center"/>
        <w:rPr>
          <w:highlight w:val="white"/>
        </w:rPr>
      </w:pPr>
      <w:r>
        <w:rPr>
          <w:rFonts w:ascii="Verdana" w:eastAsia="Verdana" w:hAnsi="Verdana" w:cs="Verdana"/>
          <w:i/>
          <w:sz w:val="16"/>
          <w:szCs w:val="16"/>
          <w:highlight w:val="white"/>
        </w:rPr>
        <w:t xml:space="preserve">Image: </w:t>
      </w:r>
      <w:proofErr w:type="spellStart"/>
      <w:r>
        <w:rPr>
          <w:rFonts w:ascii="Verdana" w:eastAsia="Verdana" w:hAnsi="Verdana" w:cs="Verdana"/>
          <w:i/>
          <w:sz w:val="14"/>
          <w:szCs w:val="14"/>
          <w:highlight w:val="white"/>
        </w:rPr>
        <w:t>Jisc</w:t>
      </w:r>
      <w:proofErr w:type="spellEnd"/>
      <w:r>
        <w:rPr>
          <w:rFonts w:ascii="Verdana" w:eastAsia="Verdana" w:hAnsi="Verdana" w:cs="Verdana"/>
          <w:i/>
          <w:sz w:val="16"/>
          <w:szCs w:val="16"/>
          <w:highlight w:val="white"/>
        </w:rPr>
        <w:t xml:space="preserve"> </w:t>
      </w:r>
      <w:hyperlink r:id="rId26">
        <w:r>
          <w:rPr>
            <w:rFonts w:ascii="Verdana" w:eastAsia="Verdana" w:hAnsi="Verdana" w:cs="Verdana"/>
            <w:i/>
            <w:color w:val="00748B"/>
            <w:sz w:val="14"/>
            <w:szCs w:val="14"/>
            <w:highlight w:val="white"/>
            <w:u w:val="single"/>
          </w:rPr>
          <w:t>CC BY-NC-ND</w:t>
        </w:r>
      </w:hyperlink>
    </w:p>
    <w:p w:rsidR="007C613B" w:rsidRDefault="007C613B">
      <w:pPr>
        <w:jc w:val="center"/>
        <w:rPr>
          <w:highlight w:val="white"/>
        </w:rPr>
      </w:pPr>
    </w:p>
    <w:p w:rsidR="007C613B" w:rsidRDefault="007C613B">
      <w:pPr>
        <w:jc w:val="center"/>
        <w:rPr>
          <w:highlight w:val="white"/>
        </w:rPr>
      </w:pPr>
    </w:p>
    <w:p w:rsidR="007C613B" w:rsidRDefault="00F0328A">
      <w:pPr>
        <w:rPr>
          <w:b/>
          <w:sz w:val="24"/>
          <w:szCs w:val="24"/>
          <w:highlight w:val="white"/>
        </w:rPr>
      </w:pPr>
      <w:r>
        <w:rPr>
          <w:b/>
          <w:sz w:val="24"/>
          <w:szCs w:val="24"/>
          <w:highlight w:val="white"/>
        </w:rPr>
        <w:t>6. Further Reading</w:t>
      </w:r>
    </w:p>
    <w:p w:rsidR="007C613B" w:rsidRDefault="007C613B">
      <w:pPr>
        <w:rPr>
          <w:b/>
          <w:sz w:val="24"/>
          <w:szCs w:val="24"/>
          <w:highlight w:val="white"/>
        </w:rPr>
      </w:pPr>
    </w:p>
    <w:p w:rsidR="007C613B" w:rsidRDefault="00F0328A">
      <w:pPr>
        <w:rPr>
          <w:sz w:val="24"/>
          <w:szCs w:val="24"/>
          <w:highlight w:val="white"/>
        </w:rPr>
      </w:pPr>
      <w:proofErr w:type="spellStart"/>
      <w:r>
        <w:rPr>
          <w:sz w:val="24"/>
          <w:szCs w:val="24"/>
          <w:highlight w:val="white"/>
        </w:rPr>
        <w:t>Jisc</w:t>
      </w:r>
      <w:proofErr w:type="spellEnd"/>
      <w:r>
        <w:rPr>
          <w:sz w:val="24"/>
          <w:szCs w:val="24"/>
          <w:highlight w:val="white"/>
        </w:rPr>
        <w:t xml:space="preserve"> </w:t>
      </w:r>
      <w:hyperlink r:id="rId27">
        <w:r>
          <w:rPr>
            <w:color w:val="1155CC"/>
            <w:sz w:val="24"/>
            <w:szCs w:val="24"/>
            <w:highlight w:val="white"/>
            <w:u w:val="single"/>
          </w:rPr>
          <w:t xml:space="preserve">Electronic management of Assessment (EMA) </w:t>
        </w:r>
      </w:hyperlink>
      <w:r>
        <w:rPr>
          <w:sz w:val="24"/>
          <w:szCs w:val="24"/>
          <w:highlight w:val="white"/>
        </w:rPr>
        <w:t>guidance</w:t>
      </w:r>
    </w:p>
    <w:p w:rsidR="007C613B" w:rsidRDefault="00F0328A">
      <w:pPr>
        <w:rPr>
          <w:sz w:val="24"/>
          <w:szCs w:val="24"/>
          <w:highlight w:val="white"/>
        </w:rPr>
      </w:pPr>
      <w:proofErr w:type="spellStart"/>
      <w:r>
        <w:rPr>
          <w:sz w:val="24"/>
          <w:szCs w:val="24"/>
          <w:highlight w:val="white"/>
        </w:rPr>
        <w:t>Jisc</w:t>
      </w:r>
      <w:proofErr w:type="spellEnd"/>
      <w:r>
        <w:fldChar w:fldCharType="begin"/>
      </w:r>
      <w:r>
        <w:instrText xml:space="preserve"> HYPERLINK "https://digitalcapability.jiscinvolve.org/wp/2017/03/09/digital-capabilities-framework-an-update/" \h </w:instrText>
      </w:r>
      <w:r>
        <w:fldChar w:fldCharType="separate"/>
      </w:r>
      <w:r>
        <w:rPr>
          <w:color w:val="1155CC"/>
          <w:sz w:val="24"/>
          <w:szCs w:val="24"/>
          <w:highlight w:val="white"/>
          <w:u w:val="single"/>
        </w:rPr>
        <w:t xml:space="preserve"> Dig</w:t>
      </w:r>
      <w:r>
        <w:rPr>
          <w:color w:val="1155CC"/>
          <w:sz w:val="24"/>
          <w:szCs w:val="24"/>
          <w:highlight w:val="white"/>
          <w:u w:val="single"/>
        </w:rPr>
        <w:t>ital Capabilities Framework</w:t>
      </w:r>
      <w:r>
        <w:rPr>
          <w:color w:val="1155CC"/>
          <w:sz w:val="24"/>
          <w:szCs w:val="24"/>
          <w:highlight w:val="white"/>
          <w:u w:val="single"/>
        </w:rPr>
        <w:fldChar w:fldCharType="end"/>
      </w:r>
      <w:r>
        <w:rPr>
          <w:sz w:val="24"/>
          <w:szCs w:val="24"/>
          <w:highlight w:val="white"/>
        </w:rPr>
        <w:t xml:space="preserve"> </w:t>
      </w:r>
      <w:proofErr w:type="gramStart"/>
      <w:r>
        <w:rPr>
          <w:sz w:val="24"/>
          <w:szCs w:val="24"/>
          <w:highlight w:val="white"/>
        </w:rPr>
        <w:t>update</w:t>
      </w:r>
      <w:proofErr w:type="gramEnd"/>
      <w:r>
        <w:rPr>
          <w:sz w:val="24"/>
          <w:szCs w:val="24"/>
          <w:highlight w:val="white"/>
        </w:rPr>
        <w:t xml:space="preserve"> (blog post)</w:t>
      </w:r>
    </w:p>
    <w:p w:rsidR="007C613B" w:rsidRDefault="007C613B">
      <w:pPr>
        <w:rPr>
          <w:sz w:val="24"/>
          <w:szCs w:val="24"/>
          <w:highlight w:val="white"/>
        </w:rPr>
      </w:pPr>
    </w:p>
    <w:p w:rsidR="007C613B" w:rsidRDefault="007C613B">
      <w:pPr>
        <w:rPr>
          <w:sz w:val="24"/>
          <w:szCs w:val="24"/>
          <w:highlight w:val="white"/>
        </w:rPr>
      </w:pPr>
    </w:p>
    <w:p w:rsidR="007C613B" w:rsidRDefault="00F0328A">
      <w:pPr>
        <w:jc w:val="center"/>
        <w:rPr>
          <w:sz w:val="24"/>
          <w:szCs w:val="24"/>
          <w:highlight w:val="white"/>
        </w:rPr>
      </w:pPr>
      <w:hyperlink r:id="rId28">
        <w:r>
          <w:rPr>
            <w:noProof/>
            <w:color w:val="1155CC"/>
            <w:sz w:val="24"/>
            <w:szCs w:val="24"/>
            <w:highlight w:val="white"/>
            <w:u w:val="single"/>
          </w:rPr>
          <w:drawing>
            <wp:inline distT="114300" distB="114300" distL="114300" distR="114300">
              <wp:extent cx="838200" cy="295275"/>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9"/>
                      <a:srcRect/>
                      <a:stretch>
                        <a:fillRect/>
                      </a:stretch>
                    </pic:blipFill>
                    <pic:spPr>
                      <a:xfrm>
                        <a:off x="0" y="0"/>
                        <a:ext cx="838200" cy="295275"/>
                      </a:xfrm>
                      <a:prstGeom prst="rect">
                        <a:avLst/>
                      </a:prstGeom>
                      <a:ln/>
                    </pic:spPr>
                  </pic:pic>
                </a:graphicData>
              </a:graphic>
            </wp:inline>
          </w:drawing>
        </w:r>
      </w:hyperlink>
    </w:p>
    <w:p w:rsidR="007C613B" w:rsidRDefault="00F0328A">
      <w:pPr>
        <w:jc w:val="center"/>
        <w:rPr>
          <w:sz w:val="24"/>
          <w:szCs w:val="24"/>
          <w:highlight w:val="white"/>
        </w:rPr>
      </w:pPr>
      <w:r>
        <w:rPr>
          <w:i/>
          <w:sz w:val="16"/>
          <w:szCs w:val="16"/>
          <w:highlight w:val="white"/>
        </w:rPr>
        <w:t>‘Introduction to Assessing Digitally</w:t>
      </w:r>
      <w:r>
        <w:rPr>
          <w:sz w:val="16"/>
          <w:szCs w:val="16"/>
          <w:highlight w:val="white"/>
        </w:rPr>
        <w:t xml:space="preserve">’ by Prof </w:t>
      </w:r>
      <w:proofErr w:type="spellStart"/>
      <w:r>
        <w:rPr>
          <w:sz w:val="16"/>
          <w:szCs w:val="16"/>
          <w:highlight w:val="white"/>
        </w:rPr>
        <w:t>LInda</w:t>
      </w:r>
      <w:proofErr w:type="spellEnd"/>
      <w:r>
        <w:rPr>
          <w:sz w:val="16"/>
          <w:szCs w:val="16"/>
          <w:highlight w:val="white"/>
        </w:rPr>
        <w:t xml:space="preserve"> Creanor, Glasgow Caledonian University</w:t>
      </w:r>
      <w:proofErr w:type="gramStart"/>
      <w:r>
        <w:rPr>
          <w:sz w:val="16"/>
          <w:szCs w:val="16"/>
          <w:highlight w:val="white"/>
        </w:rPr>
        <w:t>,  is</w:t>
      </w:r>
      <w:proofErr w:type="gramEnd"/>
      <w:r>
        <w:rPr>
          <w:sz w:val="16"/>
          <w:szCs w:val="16"/>
          <w:highlight w:val="white"/>
        </w:rPr>
        <w:t xml:space="preserve"> licensed under a Creative Commons Attri</w:t>
      </w:r>
      <w:r>
        <w:rPr>
          <w:sz w:val="16"/>
          <w:szCs w:val="16"/>
          <w:highlight w:val="white"/>
        </w:rPr>
        <w:t>bution-Non-Commercial-</w:t>
      </w:r>
      <w:proofErr w:type="spellStart"/>
      <w:r>
        <w:rPr>
          <w:sz w:val="16"/>
          <w:szCs w:val="16"/>
          <w:highlight w:val="white"/>
        </w:rPr>
        <w:t>ShareAlike</w:t>
      </w:r>
      <w:proofErr w:type="spellEnd"/>
      <w:r>
        <w:rPr>
          <w:sz w:val="16"/>
          <w:szCs w:val="16"/>
          <w:highlight w:val="white"/>
        </w:rPr>
        <w:t xml:space="preserve"> 4.0 International Licence</w:t>
      </w:r>
    </w:p>
    <w:sectPr w:rsidR="007C613B">
      <w:footerReference w:type="default" r:id="rId30"/>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28A" w:rsidRDefault="00F0328A">
      <w:pPr>
        <w:spacing w:line="240" w:lineRule="auto"/>
      </w:pPr>
      <w:r>
        <w:separator/>
      </w:r>
    </w:p>
  </w:endnote>
  <w:endnote w:type="continuationSeparator" w:id="0">
    <w:p w:rsidR="00F0328A" w:rsidRDefault="00F032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3B" w:rsidRDefault="00F0328A">
    <w:pPr>
      <w:jc w:val="right"/>
    </w:pPr>
    <w:r>
      <w:fldChar w:fldCharType="begin"/>
    </w:r>
    <w:r>
      <w:instrText>PAGE</w:instrText>
    </w:r>
    <w:r w:rsidR="005752E8">
      <w:fldChar w:fldCharType="separate"/>
    </w:r>
    <w:r w:rsidR="005752E8">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28A" w:rsidRDefault="00F0328A">
      <w:pPr>
        <w:spacing w:line="240" w:lineRule="auto"/>
      </w:pPr>
      <w:r>
        <w:separator/>
      </w:r>
    </w:p>
  </w:footnote>
  <w:footnote w:type="continuationSeparator" w:id="0">
    <w:p w:rsidR="00F0328A" w:rsidRDefault="00F0328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236F5F"/>
    <w:multiLevelType w:val="multilevel"/>
    <w:tmpl w:val="9E629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C613B"/>
    <w:rsid w:val="005752E8"/>
    <w:rsid w:val="007C613B"/>
    <w:rsid w:val="00F03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GB" w:eastAsia="en-GB"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752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2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GB" w:eastAsia="en-GB"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752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2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park.adobe.com/page/BxZ5f/" TargetMode="External"/><Relationship Id="rId18" Type="http://schemas.openxmlformats.org/officeDocument/2006/relationships/hyperlink" Target="http://www.maplesoft.com/products/mapleta/" TargetMode="External"/><Relationship Id="rId26" Type="http://schemas.openxmlformats.org/officeDocument/2006/relationships/hyperlink" Target="http://creativecommons.org/licenses/by-nc-nd/3.0" TargetMode="External"/><Relationship Id="rId3" Type="http://schemas.microsoft.com/office/2007/relationships/stylesWithEffects" Target="stylesWithEffect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docs.google.com/document/d/196gMXigaNcH9snLtm0O5661UVorUHk1G_Z0XBKl9sDM/edit" TargetMode="External"/><Relationship Id="rId17" Type="http://schemas.openxmlformats.org/officeDocument/2006/relationships/hyperlink" Target="http://bit.ly/1rg0VbY"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www.gcu.ac.uk/media/gcalwebv2/theuniversity/gaq/gaqfiles/GCU%20Social%20Media%20L&amp;T%20Guidelines.pdf" TargetMode="External"/><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google.com/document/d/1TCZs8BmI55M3bFXs_zLeelJ1zRal7yEgqmY9exvuU3k/edit" TargetMode="External"/><Relationship Id="rId24" Type="http://schemas.openxmlformats.org/officeDocument/2006/relationships/hyperlink" Target="https://pixabay.com/en/smartphone-bluetooth-headset-111931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cu.ac.uk/media/gcalwebv2/theuniversity/gaq/gaqfiles/GCU%20Similarity%20Checking%20Policy.pdf" TargetMode="External"/><Relationship Id="rId23" Type="http://schemas.openxmlformats.org/officeDocument/2006/relationships/image" Target="media/image6.png"/><Relationship Id="rId28" Type="http://schemas.openxmlformats.org/officeDocument/2006/relationships/hyperlink" Target="https://creativecommons.org/licenses/by-nc-sa/4.0/" TargetMode="External"/><Relationship Id="rId10" Type="http://schemas.openxmlformats.org/officeDocument/2006/relationships/hyperlink" Target="https://pixabay.com/en/assess-measure-evaluation-business-2372181/"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cu.ac.uk/futurelearning/studentinformation/" TargetMode="External"/><Relationship Id="rId22" Type="http://schemas.openxmlformats.org/officeDocument/2006/relationships/hyperlink" Target="https://www.youtube.com/watch?v=Oj_FQQSzN3I&amp;t=2s" TargetMode="External"/><Relationship Id="rId27" Type="http://schemas.openxmlformats.org/officeDocument/2006/relationships/hyperlink" Target="https://www.jisc.ac.uk/guides/electronic-assessment-management"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8750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Creanor, Linda</dc:creator>
  <cp:lastModifiedBy>lcr2</cp:lastModifiedBy>
  <cp:revision>2</cp:revision>
  <dcterms:created xsi:type="dcterms:W3CDTF">2017-10-19T15:08:00Z</dcterms:created>
  <dcterms:modified xsi:type="dcterms:W3CDTF">2017-10-19T15:08:00Z</dcterms:modified>
</cp:coreProperties>
</file>