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26" w:rsidRDefault="00C944E5">
      <w:pPr>
        <w:rPr>
          <w:b/>
          <w:sz w:val="28"/>
          <w:szCs w:val="28"/>
        </w:rPr>
      </w:pPr>
      <w:r>
        <w:rPr>
          <w:noProof/>
        </w:rPr>
        <w:drawing>
          <wp:anchor distT="0" distB="0" distL="0" distR="0" simplePos="0" relativeHeight="251658240" behindDoc="0" locked="0" layoutInCell="1" hidden="0" allowOverlap="1">
            <wp:simplePos x="0" y="0"/>
            <wp:positionH relativeFrom="margin">
              <wp:posOffset>0</wp:posOffset>
            </wp:positionH>
            <wp:positionV relativeFrom="paragraph">
              <wp:posOffset>0</wp:posOffset>
            </wp:positionV>
            <wp:extent cx="1343830" cy="757238"/>
            <wp:effectExtent l="0" t="0" r="0" b="0"/>
            <wp:wrapTopAndBottom distT="0" distB="0"/>
            <wp:docPr id="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343830" cy="757238"/>
                    </a:xfrm>
                    <a:prstGeom prst="rect">
                      <a:avLst/>
                    </a:prstGeom>
                    <a:ln/>
                  </pic:spPr>
                </pic:pic>
              </a:graphicData>
            </a:graphic>
          </wp:anchor>
        </w:drawing>
      </w:r>
    </w:p>
    <w:p w:rsidR="00BA3726" w:rsidRDefault="00C944E5">
      <w:pPr>
        <w:jc w:val="center"/>
        <w:rPr>
          <w:b/>
          <w:sz w:val="28"/>
          <w:szCs w:val="28"/>
        </w:rPr>
      </w:pPr>
      <w:r>
        <w:rPr>
          <w:b/>
          <w:sz w:val="28"/>
          <w:szCs w:val="28"/>
        </w:rPr>
        <w:t xml:space="preserve">Getting Started with </w:t>
      </w:r>
    </w:p>
    <w:p w:rsidR="00BA3726" w:rsidRDefault="00C944E5">
      <w:pPr>
        <w:jc w:val="center"/>
        <w:rPr>
          <w:b/>
          <w:sz w:val="28"/>
          <w:szCs w:val="28"/>
        </w:rPr>
      </w:pPr>
      <w:r>
        <w:rPr>
          <w:b/>
          <w:sz w:val="28"/>
          <w:szCs w:val="28"/>
        </w:rPr>
        <w:t>Online Submission, Digital Marking and Feedback</w:t>
      </w:r>
    </w:p>
    <w:p w:rsidR="00BA3726" w:rsidRDefault="00C944E5">
      <w:pPr>
        <w:rPr>
          <w:b/>
          <w:sz w:val="28"/>
          <w:szCs w:val="28"/>
        </w:rPr>
      </w:pPr>
      <w:r>
        <w:rPr>
          <w:b/>
          <w:sz w:val="28"/>
          <w:szCs w:val="28"/>
        </w:rPr>
        <w:t>_________________________________________________________</w:t>
      </w:r>
    </w:p>
    <w:p w:rsidR="00BA3726" w:rsidRDefault="00BA3726"/>
    <w:p w:rsidR="00BA3726" w:rsidRDefault="00C944E5">
      <w:pPr>
        <w:rPr>
          <w:b/>
        </w:rPr>
      </w:pPr>
      <w:r>
        <w:rPr>
          <w:b/>
          <w:sz w:val="24"/>
          <w:szCs w:val="24"/>
        </w:rPr>
        <w:t>1. Introduction</w:t>
      </w:r>
    </w:p>
    <w:p w:rsidR="00BA3726" w:rsidRDefault="00C944E5">
      <w:pPr>
        <w:jc w:val="center"/>
      </w:pPr>
      <w:r>
        <w:rPr>
          <w:noProof/>
        </w:rPr>
        <w:drawing>
          <wp:inline distT="114300" distB="114300" distL="114300" distR="114300">
            <wp:extent cx="4872038" cy="1257569"/>
            <wp:effectExtent l="0" t="0" r="0" b="0"/>
            <wp:docPr id="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4872038" cy="1257569"/>
                    </a:xfrm>
                    <a:prstGeom prst="rect">
                      <a:avLst/>
                    </a:prstGeom>
                    <a:ln/>
                  </pic:spPr>
                </pic:pic>
              </a:graphicData>
            </a:graphic>
          </wp:inline>
        </w:drawing>
      </w:r>
    </w:p>
    <w:p w:rsidR="00BA3726" w:rsidRDefault="00C944E5">
      <w:r>
        <w:t>T</w:t>
      </w:r>
      <w:r>
        <w:t xml:space="preserve">his guide provides an introduction to some of the commonly used processes and practices around online submission, digital marking and feedback at GCU.  School Learning Technologists and the Academic Development team in Academic Quality and Development can </w:t>
      </w:r>
      <w:r>
        <w:t xml:space="preserve">also provide further support and development opportunities for programme and module teams.  </w:t>
      </w:r>
    </w:p>
    <w:p w:rsidR="00BA3726" w:rsidRDefault="00BA3726"/>
    <w:p w:rsidR="00BA3726" w:rsidRDefault="00C944E5">
      <w:r>
        <w:t xml:space="preserve">The </w:t>
      </w:r>
      <w:hyperlink r:id="rId10">
        <w:r>
          <w:rPr>
            <w:b/>
            <w:color w:val="1155CC"/>
            <w:u w:val="single"/>
          </w:rPr>
          <w:t>GCU Digital As</w:t>
        </w:r>
        <w:r>
          <w:rPr>
            <w:b/>
            <w:color w:val="1155CC"/>
            <w:u w:val="single"/>
          </w:rPr>
          <w:t>sessment Policy</w:t>
        </w:r>
      </w:hyperlink>
      <w:r>
        <w:t xml:space="preserve"> (pdf) states that,</w:t>
      </w:r>
    </w:p>
    <w:p w:rsidR="00BA3726" w:rsidRDefault="00BA3726"/>
    <w:p w:rsidR="00BA3726" w:rsidRDefault="00C944E5">
      <w:r>
        <w:rPr>
          <w:i/>
        </w:rPr>
        <w:t xml:space="preserve">‘All suitable coursework assignments, both formative and summative, will normally be submitted online. </w:t>
      </w:r>
      <w:proofErr w:type="gramStart"/>
      <w:r>
        <w:rPr>
          <w:i/>
        </w:rPr>
        <w:t>Where student work is submitted online, digital forms of marking and feedback are also the expected norms.’</w:t>
      </w:r>
      <w:proofErr w:type="gramEnd"/>
      <w:r>
        <w:t>(</w:t>
      </w:r>
      <w:proofErr w:type="gramStart"/>
      <w:r>
        <w:t>section</w:t>
      </w:r>
      <w:proofErr w:type="gramEnd"/>
      <w:r>
        <w:t xml:space="preserve"> 4</w:t>
      </w:r>
      <w:r>
        <w:t>.1, GCU Digital Assessment Policy)</w:t>
      </w:r>
    </w:p>
    <w:p w:rsidR="00BA3726" w:rsidRDefault="00C944E5">
      <w:r>
        <w:t xml:space="preserve"> </w:t>
      </w:r>
    </w:p>
    <w:p w:rsidR="00BA3726" w:rsidRDefault="00C944E5">
      <w:r>
        <w:t xml:space="preserve">As outlined in the Policy, the well-managed use of technology for submission, marking and feedback </w:t>
      </w:r>
      <w:proofErr w:type="gramStart"/>
      <w:r>
        <w:t>has</w:t>
      </w:r>
      <w:proofErr w:type="gramEnd"/>
      <w:r>
        <w:t xml:space="preserve"> advantages for students, staff and the University, including</w:t>
      </w:r>
      <w:r>
        <w:rPr>
          <w:sz w:val="20"/>
          <w:szCs w:val="20"/>
          <w:vertAlign w:val="superscript"/>
        </w:rPr>
        <w:footnoteReference w:id="1"/>
      </w:r>
      <w:r>
        <w:t>:</w:t>
      </w:r>
    </w:p>
    <w:p w:rsidR="00BA3726" w:rsidRDefault="00C944E5">
      <w:r>
        <w:t xml:space="preserve"> </w:t>
      </w:r>
    </w:p>
    <w:tbl>
      <w:tblPr>
        <w:tblStyle w:val="a"/>
        <w:tblW w:w="9025" w:type="dxa"/>
        <w:tblInd w:w="100" w:type="dxa"/>
        <w:tblLayout w:type="fixed"/>
        <w:tblLook w:val="0600" w:firstRow="0" w:lastRow="0" w:firstColumn="0" w:lastColumn="0" w:noHBand="1" w:noVBand="1"/>
      </w:tblPr>
      <w:tblGrid>
        <w:gridCol w:w="2390"/>
        <w:gridCol w:w="6635"/>
      </w:tblGrid>
      <w:tr w:rsidR="00BA3726">
        <w:trPr>
          <w:trHeight w:val="1000"/>
        </w:trPr>
        <w:tc>
          <w:tcPr>
            <w:tcW w:w="2390" w:type="dxa"/>
            <w:tcBorders>
              <w:top w:val="nil"/>
              <w:left w:val="nil"/>
              <w:bottom w:val="nil"/>
              <w:right w:val="nil"/>
            </w:tcBorders>
            <w:tcMar>
              <w:top w:w="100" w:type="dxa"/>
              <w:left w:w="100" w:type="dxa"/>
              <w:bottom w:w="100" w:type="dxa"/>
              <w:right w:w="100" w:type="dxa"/>
            </w:tcMar>
          </w:tcPr>
          <w:p w:rsidR="00BA3726" w:rsidRDefault="00C944E5">
            <w:pPr>
              <w:widowControl w:val="0"/>
            </w:pPr>
            <w:r>
              <w:rPr>
                <w:b/>
              </w:rPr>
              <w:t>For Students</w:t>
            </w:r>
            <w:r>
              <w:t>:</w:t>
            </w:r>
          </w:p>
        </w:tc>
        <w:tc>
          <w:tcPr>
            <w:tcW w:w="6635" w:type="dxa"/>
            <w:tcBorders>
              <w:top w:val="nil"/>
              <w:left w:val="nil"/>
              <w:bottom w:val="nil"/>
              <w:right w:val="nil"/>
            </w:tcBorders>
            <w:tcMar>
              <w:top w:w="100" w:type="dxa"/>
              <w:left w:w="100" w:type="dxa"/>
              <w:bottom w:w="100" w:type="dxa"/>
              <w:right w:w="100" w:type="dxa"/>
            </w:tcMar>
          </w:tcPr>
          <w:p w:rsidR="00BA3726" w:rsidRDefault="00C944E5">
            <w:pPr>
              <w:widowControl w:val="0"/>
              <w:rPr>
                <w:color w:val="080708"/>
                <w:highlight w:val="white"/>
              </w:rPr>
            </w:pPr>
            <w:proofErr w:type="gramStart"/>
            <w:r>
              <w:t>submitting</w:t>
            </w:r>
            <w:proofErr w:type="gramEnd"/>
            <w:r>
              <w:t xml:space="preserve"> work online and receiving </w:t>
            </w:r>
            <w:r>
              <w:t>timely feedback on their performance; automatic proof of receipt</w:t>
            </w:r>
            <w:r>
              <w:rPr>
                <w:color w:val="080708"/>
                <w:highlight w:val="white"/>
              </w:rPr>
              <w:t xml:space="preserve">; </w:t>
            </w:r>
            <w:r>
              <w:t xml:space="preserve">easy access to digital feedback; convenience of not having to travel to submit assessments; </w:t>
            </w:r>
            <w:r>
              <w:rPr>
                <w:color w:val="080708"/>
                <w:highlight w:val="white"/>
              </w:rPr>
              <w:t xml:space="preserve"> reduces paper use and </w:t>
            </w:r>
            <w:r>
              <w:rPr>
                <w:highlight w:val="white"/>
              </w:rPr>
              <w:t>addresses environmental concerns.</w:t>
            </w:r>
          </w:p>
        </w:tc>
      </w:tr>
      <w:tr w:rsidR="00BA3726">
        <w:trPr>
          <w:trHeight w:val="1260"/>
        </w:trPr>
        <w:tc>
          <w:tcPr>
            <w:tcW w:w="2390" w:type="dxa"/>
            <w:tcBorders>
              <w:top w:val="nil"/>
              <w:left w:val="nil"/>
              <w:bottom w:val="nil"/>
              <w:right w:val="nil"/>
            </w:tcBorders>
            <w:tcMar>
              <w:top w:w="100" w:type="dxa"/>
              <w:left w:w="100" w:type="dxa"/>
              <w:bottom w:w="100" w:type="dxa"/>
              <w:right w:w="100" w:type="dxa"/>
            </w:tcMar>
          </w:tcPr>
          <w:p w:rsidR="00BA3726" w:rsidRDefault="00C944E5">
            <w:pPr>
              <w:widowControl w:val="0"/>
              <w:rPr>
                <w:b/>
              </w:rPr>
            </w:pPr>
            <w:r>
              <w:rPr>
                <w:b/>
              </w:rPr>
              <w:t>For Staff:</w:t>
            </w:r>
          </w:p>
        </w:tc>
        <w:tc>
          <w:tcPr>
            <w:tcW w:w="6635" w:type="dxa"/>
            <w:tcBorders>
              <w:top w:val="nil"/>
              <w:left w:val="nil"/>
              <w:bottom w:val="nil"/>
              <w:right w:val="nil"/>
            </w:tcBorders>
            <w:tcMar>
              <w:top w:w="100" w:type="dxa"/>
              <w:left w:w="100" w:type="dxa"/>
              <w:bottom w:w="100" w:type="dxa"/>
              <w:right w:w="100" w:type="dxa"/>
            </w:tcMar>
          </w:tcPr>
          <w:p w:rsidR="00BA3726" w:rsidRDefault="00C944E5">
            <w:pPr>
              <w:widowControl w:val="0"/>
              <w:rPr>
                <w:highlight w:val="white"/>
              </w:rPr>
            </w:pPr>
            <w:proofErr w:type="gramStart"/>
            <w:r>
              <w:t>improving</w:t>
            </w:r>
            <w:proofErr w:type="gramEnd"/>
            <w:r>
              <w:t xml:space="preserve"> student learning by</w:t>
            </w:r>
            <w:r>
              <w:t xml:space="preserve"> providing feedback in efficient and timely ways; </w:t>
            </w:r>
            <w:r>
              <w:rPr>
                <w:highlight w:val="white"/>
              </w:rPr>
              <w:t>the convenience of not having to collect and carry large quantities of paper; being able to reuse common feedback comments; allows easy access to external examiners.</w:t>
            </w:r>
          </w:p>
        </w:tc>
      </w:tr>
      <w:tr w:rsidR="00BA3726">
        <w:trPr>
          <w:trHeight w:val="1260"/>
        </w:trPr>
        <w:tc>
          <w:tcPr>
            <w:tcW w:w="2390" w:type="dxa"/>
            <w:tcBorders>
              <w:top w:val="nil"/>
              <w:left w:val="nil"/>
              <w:bottom w:val="nil"/>
              <w:right w:val="nil"/>
            </w:tcBorders>
            <w:tcMar>
              <w:top w:w="100" w:type="dxa"/>
              <w:left w:w="100" w:type="dxa"/>
              <w:bottom w:w="100" w:type="dxa"/>
              <w:right w:w="100" w:type="dxa"/>
            </w:tcMar>
          </w:tcPr>
          <w:p w:rsidR="00BA3726" w:rsidRDefault="00C944E5">
            <w:pPr>
              <w:widowControl w:val="0"/>
              <w:rPr>
                <w:b/>
                <w:color w:val="080708"/>
                <w:highlight w:val="white"/>
              </w:rPr>
            </w:pPr>
            <w:r>
              <w:rPr>
                <w:b/>
                <w:color w:val="080708"/>
                <w:highlight w:val="white"/>
              </w:rPr>
              <w:lastRenderedPageBreak/>
              <w:t>For Schools, central departments and the University:</w:t>
            </w:r>
          </w:p>
        </w:tc>
        <w:tc>
          <w:tcPr>
            <w:tcW w:w="6635" w:type="dxa"/>
            <w:tcBorders>
              <w:top w:val="nil"/>
              <w:left w:val="nil"/>
              <w:bottom w:val="nil"/>
              <w:right w:val="nil"/>
            </w:tcBorders>
            <w:tcMar>
              <w:top w:w="100" w:type="dxa"/>
              <w:left w:w="100" w:type="dxa"/>
              <w:bottom w:w="100" w:type="dxa"/>
              <w:right w:w="100" w:type="dxa"/>
            </w:tcMar>
          </w:tcPr>
          <w:p w:rsidR="00BA3726" w:rsidRDefault="00C944E5">
            <w:pPr>
              <w:widowControl w:val="0"/>
              <w:rPr>
                <w:highlight w:val="white"/>
              </w:rPr>
            </w:pPr>
            <w:proofErr w:type="gramStart"/>
            <w:r>
              <w:rPr>
                <w:highlight w:val="white"/>
              </w:rPr>
              <w:t>ease</w:t>
            </w:r>
            <w:proofErr w:type="gramEnd"/>
            <w:r>
              <w:rPr>
                <w:highlight w:val="white"/>
              </w:rPr>
              <w:t xml:space="preserve"> of access to accurate, up-to-date assessment data which can inform quality enhancement and assurance, marketing, course information for prospective students and long-term curriculum planning; potential increase in student satisfaction.</w:t>
            </w:r>
          </w:p>
        </w:tc>
      </w:tr>
    </w:tbl>
    <w:p w:rsidR="00BA3726" w:rsidRDefault="00C944E5">
      <w:pPr>
        <w:rPr>
          <w:b/>
          <w:sz w:val="24"/>
          <w:szCs w:val="24"/>
        </w:rPr>
      </w:pPr>
      <w:r>
        <w:rPr>
          <w:b/>
          <w:sz w:val="24"/>
          <w:szCs w:val="24"/>
        </w:rPr>
        <w:t xml:space="preserve"> </w:t>
      </w:r>
    </w:p>
    <w:p w:rsidR="00BA3726" w:rsidRDefault="00C944E5">
      <w:pPr>
        <w:rPr>
          <w:b/>
          <w:sz w:val="24"/>
          <w:szCs w:val="24"/>
        </w:rPr>
      </w:pPr>
      <w:r>
        <w:rPr>
          <w:b/>
          <w:sz w:val="24"/>
          <w:szCs w:val="24"/>
        </w:rPr>
        <w:t>2. Online Su</w:t>
      </w:r>
      <w:r>
        <w:rPr>
          <w:b/>
          <w:sz w:val="24"/>
          <w:szCs w:val="24"/>
        </w:rPr>
        <w:t>bmission</w:t>
      </w:r>
    </w:p>
    <w:p w:rsidR="00BA3726" w:rsidRDefault="00C944E5">
      <w:pPr>
        <w:rPr>
          <w:b/>
          <w:sz w:val="24"/>
          <w:szCs w:val="24"/>
        </w:rPr>
      </w:pPr>
      <w:r>
        <w:rPr>
          <w:noProof/>
        </w:rPr>
        <w:drawing>
          <wp:anchor distT="228600" distB="228600" distL="228600" distR="228600" simplePos="0" relativeHeight="251659264" behindDoc="0" locked="0" layoutInCell="1" hidden="0" allowOverlap="1">
            <wp:simplePos x="0" y="0"/>
            <wp:positionH relativeFrom="margin">
              <wp:posOffset>-209549</wp:posOffset>
            </wp:positionH>
            <wp:positionV relativeFrom="paragraph">
              <wp:posOffset>0</wp:posOffset>
            </wp:positionV>
            <wp:extent cx="1431301" cy="890588"/>
            <wp:effectExtent l="0" t="0" r="0" b="0"/>
            <wp:wrapSquare wrapText="bothSides" distT="228600" distB="228600" distL="228600" distR="228600"/>
            <wp:docPr id="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1"/>
                    <a:srcRect/>
                    <a:stretch>
                      <a:fillRect/>
                    </a:stretch>
                  </pic:blipFill>
                  <pic:spPr>
                    <a:xfrm>
                      <a:off x="0" y="0"/>
                      <a:ext cx="1431301" cy="890588"/>
                    </a:xfrm>
                    <a:prstGeom prst="rect">
                      <a:avLst/>
                    </a:prstGeom>
                    <a:ln/>
                  </pic:spPr>
                </pic:pic>
              </a:graphicData>
            </a:graphic>
          </wp:anchor>
        </w:drawing>
      </w:r>
    </w:p>
    <w:p w:rsidR="00BA3726" w:rsidRDefault="00C944E5">
      <w:pPr>
        <w:rPr>
          <w:b/>
        </w:rPr>
      </w:pPr>
      <w:r>
        <w:t xml:space="preserve">The main method for the submission of student assignments and coursework is through </w:t>
      </w:r>
      <w:proofErr w:type="spellStart"/>
      <w:r>
        <w:rPr>
          <w:b/>
        </w:rPr>
        <w:t>Turnitin</w:t>
      </w:r>
      <w:proofErr w:type="spellEnd"/>
      <w:r>
        <w:rPr>
          <w:b/>
        </w:rPr>
        <w:t xml:space="preserve"> Feedback Studio</w:t>
      </w:r>
      <w:r>
        <w:t xml:space="preserve"> which is integrated within </w:t>
      </w:r>
      <w:proofErr w:type="spellStart"/>
      <w:r>
        <w:t>GCULearn</w:t>
      </w:r>
      <w:proofErr w:type="spellEnd"/>
      <w:r>
        <w:t>.  More detailed information on the expectations of online submission and the practicalities of using</w:t>
      </w:r>
      <w:r>
        <w:t xml:space="preserve"> </w:t>
      </w:r>
      <w:proofErr w:type="spellStart"/>
      <w:r>
        <w:t>Turnitin</w:t>
      </w:r>
      <w:proofErr w:type="spellEnd"/>
      <w:r>
        <w:t xml:space="preserve"> Feedback Studio can be found in the </w:t>
      </w:r>
      <w:proofErr w:type="spellStart"/>
      <w:r>
        <w:t>the</w:t>
      </w:r>
      <w:proofErr w:type="spellEnd"/>
      <w:r>
        <w:t xml:space="preserve"> </w:t>
      </w:r>
      <w:hyperlink r:id="rId12">
        <w:r>
          <w:rPr>
            <w:b/>
            <w:color w:val="1155CC"/>
            <w:u w:val="single"/>
          </w:rPr>
          <w:t>GCU Online Similarity Checking Policy</w:t>
        </w:r>
      </w:hyperlink>
      <w:r>
        <w:rPr>
          <w:b/>
        </w:rPr>
        <w:t xml:space="preserve"> </w:t>
      </w:r>
      <w:r>
        <w:t>(PDF)</w:t>
      </w:r>
      <w:r>
        <w:rPr>
          <w:b/>
        </w:rPr>
        <w:t xml:space="preserve"> </w:t>
      </w:r>
      <w:r>
        <w:t>and guides.</w:t>
      </w:r>
      <w:r>
        <w:rPr>
          <w:b/>
        </w:rPr>
        <w:t xml:space="preserve"> </w:t>
      </w:r>
    </w:p>
    <w:p w:rsidR="00BA3726" w:rsidRDefault="00C944E5">
      <w:r>
        <w:t>In summary:</w:t>
      </w:r>
    </w:p>
    <w:p w:rsidR="00BA3726" w:rsidRDefault="00BA3726"/>
    <w:p w:rsidR="00BA3726" w:rsidRDefault="00C944E5">
      <w:pPr>
        <w:numPr>
          <w:ilvl w:val="0"/>
          <w:numId w:val="1"/>
        </w:numPr>
        <w:contextualSpacing/>
      </w:pPr>
      <w:proofErr w:type="spellStart"/>
      <w:r>
        <w:t>Turnitin</w:t>
      </w:r>
      <w:proofErr w:type="spellEnd"/>
      <w:r>
        <w:t xml:space="preserve"> Fee</w:t>
      </w:r>
      <w:r>
        <w:t xml:space="preserve">dback Studio, accessed via </w:t>
      </w:r>
      <w:proofErr w:type="spellStart"/>
      <w:r>
        <w:t>GCULearn</w:t>
      </w:r>
      <w:proofErr w:type="spellEnd"/>
      <w:r>
        <w:t>, is the main application for the online submission of student coursework and assignments.</w:t>
      </w:r>
    </w:p>
    <w:p w:rsidR="00BA3726" w:rsidRDefault="00C944E5">
      <w:r>
        <w:t xml:space="preserve"> </w:t>
      </w:r>
    </w:p>
    <w:p w:rsidR="00BA3726" w:rsidRDefault="00C944E5">
      <w:pPr>
        <w:numPr>
          <w:ilvl w:val="0"/>
          <w:numId w:val="1"/>
        </w:numPr>
        <w:contextualSpacing/>
      </w:pPr>
      <w:r>
        <w:t>It is used for similarity checking, providing feedback and creating marking schemes (e.g. using Rubrics).</w:t>
      </w:r>
    </w:p>
    <w:p w:rsidR="00BA3726" w:rsidRDefault="00C944E5">
      <w:pPr>
        <w:jc w:val="center"/>
      </w:pPr>
      <w:r>
        <w:rPr>
          <w:b/>
          <w:noProof/>
        </w:rPr>
        <w:drawing>
          <wp:inline distT="114300" distB="114300" distL="114300" distR="114300">
            <wp:extent cx="2219325" cy="571500"/>
            <wp:effectExtent l="0" t="0" r="0" b="0"/>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2219325" cy="571500"/>
                    </a:xfrm>
                    <a:prstGeom prst="rect">
                      <a:avLst/>
                    </a:prstGeom>
                    <a:ln/>
                  </pic:spPr>
                </pic:pic>
              </a:graphicData>
            </a:graphic>
          </wp:inline>
        </w:drawing>
      </w:r>
    </w:p>
    <w:p w:rsidR="00BA3726" w:rsidRDefault="00BA3726"/>
    <w:p w:rsidR="00BA3726" w:rsidRDefault="00C944E5">
      <w:pPr>
        <w:numPr>
          <w:ilvl w:val="0"/>
          <w:numId w:val="1"/>
        </w:numPr>
        <w:contextualSpacing/>
      </w:pPr>
      <w:proofErr w:type="spellStart"/>
      <w:r>
        <w:rPr>
          <w:b/>
        </w:rPr>
        <w:t>Turnitin</w:t>
      </w:r>
      <w:proofErr w:type="spellEnd"/>
      <w:r>
        <w:rPr>
          <w:b/>
        </w:rPr>
        <w:t xml:space="preserve"> Feedback S</w:t>
      </w:r>
      <w:r>
        <w:rPr>
          <w:b/>
        </w:rPr>
        <w:t xml:space="preserve">tudio does not replace academic judgement. </w:t>
      </w:r>
      <w:r>
        <w:t xml:space="preserve"> It enables a lecturer to compare where there are similarities between the student‘s own work and what has already been submitted to the </w:t>
      </w:r>
      <w:proofErr w:type="spellStart"/>
      <w:r>
        <w:t>Turnitin</w:t>
      </w:r>
      <w:proofErr w:type="spellEnd"/>
      <w:r>
        <w:t xml:space="preserve"> repository. The percentage score is an indicator to help identify i</w:t>
      </w:r>
      <w:r>
        <w:t>ssues which need to be addressed, and the academic will have to make the judgement on what has been copied and poorly referenced.</w:t>
      </w:r>
    </w:p>
    <w:p w:rsidR="00BA3726" w:rsidRDefault="00BA3726"/>
    <w:p w:rsidR="00BA3726" w:rsidRDefault="00C944E5">
      <w:pPr>
        <w:numPr>
          <w:ilvl w:val="0"/>
          <w:numId w:val="1"/>
        </w:numPr>
        <w:contextualSpacing/>
      </w:pPr>
      <w:r>
        <w:t>Current practice varies across modules, programmes and Schools e.g.</w:t>
      </w:r>
    </w:p>
    <w:p w:rsidR="00BA3726" w:rsidRDefault="00BA3726"/>
    <w:p w:rsidR="00BA3726" w:rsidRDefault="00C944E5">
      <w:pPr>
        <w:numPr>
          <w:ilvl w:val="1"/>
          <w:numId w:val="1"/>
        </w:numPr>
        <w:contextualSpacing/>
      </w:pPr>
      <w:r>
        <w:rPr>
          <w:i/>
        </w:rPr>
        <w:t>Formative</w:t>
      </w:r>
      <w:r>
        <w:t>: students are encouraged to upload up their wo</w:t>
      </w:r>
      <w:r>
        <w:t xml:space="preserve">rk to check their similarity score one or more times before final submission. The students’ assignments are only added to the </w:t>
      </w:r>
      <w:proofErr w:type="spellStart"/>
      <w:r>
        <w:t>Turnitin</w:t>
      </w:r>
      <w:proofErr w:type="spellEnd"/>
      <w:r>
        <w:t xml:space="preserve"> repository after the final submission.  This allows students to learn from the similarity feedback to improve their acade</w:t>
      </w:r>
      <w:r>
        <w:t xml:space="preserve">mic writing skills and referencing. As noted in the Online Similarity Policy, this formative approach is strongly encouraged. </w:t>
      </w:r>
    </w:p>
    <w:p w:rsidR="00BA3726" w:rsidRDefault="00BA3726">
      <w:pPr>
        <w:ind w:left="720"/>
      </w:pPr>
    </w:p>
    <w:p w:rsidR="00BA3726" w:rsidRDefault="00C944E5">
      <w:pPr>
        <w:numPr>
          <w:ilvl w:val="1"/>
          <w:numId w:val="1"/>
        </w:numPr>
        <w:contextualSpacing/>
      </w:pPr>
      <w:r>
        <w:rPr>
          <w:i/>
        </w:rPr>
        <w:t>Summative</w:t>
      </w:r>
      <w:r>
        <w:t xml:space="preserve">:  students are required to submit assignments via </w:t>
      </w:r>
      <w:proofErr w:type="spellStart"/>
      <w:r>
        <w:t>Turnitin</w:t>
      </w:r>
      <w:proofErr w:type="spellEnd"/>
      <w:r>
        <w:t xml:space="preserve"> and the similarity score is withheld. This may be for example, because they are postgraduates and should not be plagiarising. Such an approach should however be the exception rather than the norm.</w:t>
      </w:r>
      <w:r>
        <w:t xml:space="preserve"> </w:t>
      </w:r>
    </w:p>
    <w:p w:rsidR="00BA3726" w:rsidRDefault="00BA3726">
      <w:pPr>
        <w:ind w:left="720"/>
      </w:pPr>
    </w:p>
    <w:p w:rsidR="00BA3726" w:rsidRDefault="00C944E5">
      <w:pPr>
        <w:numPr>
          <w:ilvl w:val="0"/>
          <w:numId w:val="1"/>
        </w:numPr>
        <w:contextualSpacing/>
      </w:pPr>
      <w:r>
        <w:t xml:space="preserve">Students can access support from their School </w:t>
      </w:r>
      <w:r>
        <w:rPr>
          <w:b/>
        </w:rPr>
        <w:t>Learning Development Centre</w:t>
      </w:r>
      <w:r>
        <w:t xml:space="preserve"> (LDC) for help with avoiding plagiarism, academic writing skills and referencing (with </w:t>
      </w:r>
      <w:r>
        <w:lastRenderedPageBreak/>
        <w:t xml:space="preserve">support also from the </w:t>
      </w:r>
      <w:r>
        <w:rPr>
          <w:b/>
        </w:rPr>
        <w:t>Library</w:t>
      </w:r>
      <w:r>
        <w:t>). GCU subscribes to</w:t>
      </w:r>
      <w:r>
        <w:rPr>
          <w:b/>
        </w:rPr>
        <w:t xml:space="preserve"> </w:t>
      </w:r>
      <w:hyperlink r:id="rId14">
        <w:r>
          <w:rPr>
            <w:b/>
            <w:color w:val="1155CC"/>
            <w:u w:val="single"/>
          </w:rPr>
          <w:t>PLATO</w:t>
        </w:r>
      </w:hyperlink>
      <w:r>
        <w:t xml:space="preserve">, a short online course on what plagiarism is and how to avoid it in academic writing, available via </w:t>
      </w:r>
      <w:proofErr w:type="spellStart"/>
      <w:r>
        <w:t>GCULearn</w:t>
      </w:r>
      <w:proofErr w:type="spellEnd"/>
      <w:r>
        <w:t>,</w:t>
      </w:r>
    </w:p>
    <w:p w:rsidR="00BA3726" w:rsidRDefault="00BA3726"/>
    <w:p w:rsidR="00BA3726" w:rsidRDefault="00C944E5">
      <w:pPr>
        <w:numPr>
          <w:ilvl w:val="0"/>
          <w:numId w:val="1"/>
        </w:numPr>
        <w:contextualSpacing/>
      </w:pPr>
      <w:r>
        <w:t>For content which is not suitable for online similarity checking (e.g. graphics, computer coding, mathematical symbo</w:t>
      </w:r>
      <w:r>
        <w:t>ls and other non-textual presentation)</w:t>
      </w:r>
      <w:proofErr w:type="gramStart"/>
      <w:r>
        <w:t>,  student</w:t>
      </w:r>
      <w:proofErr w:type="gramEnd"/>
      <w:r>
        <w:t xml:space="preserve"> work can still be submitted online through the </w:t>
      </w:r>
      <w:proofErr w:type="spellStart"/>
      <w:r>
        <w:rPr>
          <w:b/>
        </w:rPr>
        <w:t>GCULearn</w:t>
      </w:r>
      <w:proofErr w:type="spellEnd"/>
      <w:r>
        <w:rPr>
          <w:b/>
        </w:rPr>
        <w:t xml:space="preserve"> Assignment tool</w:t>
      </w:r>
      <w:r>
        <w:t>.</w:t>
      </w:r>
    </w:p>
    <w:p w:rsidR="00BA3726" w:rsidRDefault="00C944E5">
      <w:r>
        <w:t xml:space="preserve"> </w:t>
      </w:r>
    </w:p>
    <w:p w:rsidR="00BA3726" w:rsidRDefault="00C944E5">
      <w:pPr>
        <w:jc w:val="center"/>
      </w:pPr>
      <w:r>
        <w:rPr>
          <w:noProof/>
        </w:rPr>
        <w:drawing>
          <wp:inline distT="114300" distB="114300" distL="114300" distR="114300">
            <wp:extent cx="1524000" cy="1971675"/>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5"/>
                    <a:srcRect/>
                    <a:stretch>
                      <a:fillRect/>
                    </a:stretch>
                  </pic:blipFill>
                  <pic:spPr>
                    <a:xfrm>
                      <a:off x="0" y="0"/>
                      <a:ext cx="1524000" cy="1971675"/>
                    </a:xfrm>
                    <a:prstGeom prst="rect">
                      <a:avLst/>
                    </a:prstGeom>
                    <a:ln/>
                  </pic:spPr>
                </pic:pic>
              </a:graphicData>
            </a:graphic>
          </wp:inline>
        </w:drawing>
      </w:r>
    </w:p>
    <w:p w:rsidR="00BA3726" w:rsidRDefault="00BA3726"/>
    <w:p w:rsidR="00BA3726" w:rsidRDefault="00C944E5">
      <w:pPr>
        <w:numPr>
          <w:ilvl w:val="0"/>
          <w:numId w:val="1"/>
        </w:numPr>
        <w:contextualSpacing/>
      </w:pPr>
      <w:r>
        <w:t xml:space="preserve">Inevitably there will be exceptions for some assessments, e.g. the production of an artefact, which may not lend </w:t>
      </w:r>
      <w:proofErr w:type="gramStart"/>
      <w:r>
        <w:t>themselves</w:t>
      </w:r>
      <w:proofErr w:type="gramEnd"/>
      <w:r>
        <w:t xml:space="preserve"> to online submission.</w:t>
      </w:r>
    </w:p>
    <w:p w:rsidR="00BA3726" w:rsidRDefault="00BA3726"/>
    <w:p w:rsidR="00BA3726" w:rsidRDefault="00C944E5">
      <w:pPr>
        <w:numPr>
          <w:ilvl w:val="0"/>
          <w:numId w:val="3"/>
        </w:numPr>
        <w:contextualSpacing/>
      </w:pPr>
      <w:r>
        <w:t xml:space="preserve">In all cases, </w:t>
      </w:r>
      <w:r>
        <w:rPr>
          <w:b/>
        </w:rPr>
        <w:t>GCU Assessment Regulations</w:t>
      </w:r>
      <w:r>
        <w:t xml:space="preserve"> and </w:t>
      </w:r>
      <w:r>
        <w:rPr>
          <w:b/>
        </w:rPr>
        <w:t>Code of Student Conduct</w:t>
      </w:r>
      <w:r>
        <w:t xml:space="preserve"> should be adhered to for submissions</w:t>
      </w:r>
      <w:r>
        <w:rPr>
          <w:vertAlign w:val="superscript"/>
        </w:rPr>
        <w:footnoteReference w:id="2"/>
      </w:r>
      <w:r>
        <w:t xml:space="preserve">. </w:t>
      </w:r>
    </w:p>
    <w:p w:rsidR="00BA3726" w:rsidRDefault="00BA3726">
      <w:pPr>
        <w:rPr>
          <w:b/>
        </w:rPr>
      </w:pPr>
    </w:p>
    <w:p w:rsidR="00BA3726" w:rsidRDefault="00BA3726">
      <w:pPr>
        <w:rPr>
          <w:b/>
          <w:sz w:val="24"/>
          <w:szCs w:val="24"/>
        </w:rPr>
      </w:pPr>
    </w:p>
    <w:p w:rsidR="00BA3726" w:rsidRDefault="00C944E5">
      <w:pPr>
        <w:rPr>
          <w:b/>
          <w:sz w:val="24"/>
          <w:szCs w:val="24"/>
        </w:rPr>
      </w:pPr>
      <w:r>
        <w:rPr>
          <w:b/>
          <w:sz w:val="24"/>
          <w:szCs w:val="24"/>
        </w:rPr>
        <w:t>3. Digital Marking</w:t>
      </w:r>
    </w:p>
    <w:p w:rsidR="00BA3726" w:rsidRDefault="00C944E5">
      <w:pPr>
        <w:rPr>
          <w:b/>
        </w:rPr>
      </w:pPr>
      <w:r>
        <w:rPr>
          <w:noProof/>
        </w:rPr>
        <w:drawing>
          <wp:anchor distT="114300" distB="114300" distL="114300" distR="114300" simplePos="0" relativeHeight="251660288" behindDoc="0" locked="0" layoutInCell="1" hidden="0" allowOverlap="1">
            <wp:simplePos x="0" y="0"/>
            <wp:positionH relativeFrom="margin">
              <wp:posOffset>-95249</wp:posOffset>
            </wp:positionH>
            <wp:positionV relativeFrom="paragraph">
              <wp:posOffset>95250</wp:posOffset>
            </wp:positionV>
            <wp:extent cx="1495425" cy="904875"/>
            <wp:effectExtent l="0" t="0" r="0" b="0"/>
            <wp:wrapSquare wrapText="bothSides" distT="114300" distB="114300" distL="114300" distR="11430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1495425" cy="904875"/>
                    </a:xfrm>
                    <a:prstGeom prst="rect">
                      <a:avLst/>
                    </a:prstGeom>
                    <a:ln/>
                  </pic:spPr>
                </pic:pic>
              </a:graphicData>
            </a:graphic>
          </wp:anchor>
        </w:drawing>
      </w:r>
    </w:p>
    <w:p w:rsidR="00BA3726" w:rsidRDefault="00C944E5">
      <w:pPr>
        <w:rPr>
          <w:color w:val="2C3841"/>
          <w:highlight w:val="white"/>
        </w:rPr>
      </w:pPr>
      <w:r>
        <w:t xml:space="preserve">Digital forms of marking can bring benefits to staff and save time, for example by enabling the </w:t>
      </w:r>
      <w:r>
        <w:rPr>
          <w:color w:val="2C3841"/>
          <w:highlight w:val="white"/>
        </w:rPr>
        <w:t>reuse of common feedback comments, facilitating second marking and reducing the administrative burden. Students can access their marks an</w:t>
      </w:r>
      <w:r>
        <w:rPr>
          <w:color w:val="2C3841"/>
          <w:highlight w:val="white"/>
        </w:rPr>
        <w:t xml:space="preserve">d the marking criteria quickly and easily. </w:t>
      </w:r>
    </w:p>
    <w:p w:rsidR="00BA3726" w:rsidRDefault="00BA3726">
      <w:pPr>
        <w:rPr>
          <w:color w:val="2C3841"/>
          <w:highlight w:val="white"/>
        </w:rPr>
      </w:pPr>
    </w:p>
    <w:p w:rsidR="00BA3726" w:rsidRDefault="00C944E5">
      <w:pPr>
        <w:rPr>
          <w:color w:val="2C3841"/>
          <w:highlight w:val="white"/>
        </w:rPr>
      </w:pPr>
      <w:r>
        <w:rPr>
          <w:color w:val="2C3841"/>
          <w:highlight w:val="white"/>
        </w:rPr>
        <w:t>Where marking responsibilities are shared, it is important to agree across the team how the marking will be done to ensure a consistent experience for the students.</w:t>
      </w:r>
    </w:p>
    <w:p w:rsidR="00BA3726" w:rsidRDefault="00C944E5">
      <w:pPr>
        <w:rPr>
          <w:color w:val="2C3841"/>
          <w:highlight w:val="white"/>
        </w:rPr>
      </w:pPr>
      <w:r>
        <w:rPr>
          <w:color w:val="2C3841"/>
          <w:highlight w:val="white"/>
        </w:rPr>
        <w:t xml:space="preserve"> </w:t>
      </w:r>
    </w:p>
    <w:p w:rsidR="00BA3726" w:rsidRDefault="00C944E5">
      <w:pPr>
        <w:rPr>
          <w:color w:val="2C3841"/>
          <w:highlight w:val="white"/>
        </w:rPr>
      </w:pPr>
      <w:r>
        <w:rPr>
          <w:color w:val="2C3841"/>
          <w:highlight w:val="white"/>
        </w:rPr>
        <w:t xml:space="preserve">Approaches may include using </w:t>
      </w:r>
      <w:proofErr w:type="spellStart"/>
      <w:r>
        <w:rPr>
          <w:color w:val="2C3841"/>
          <w:highlight w:val="white"/>
        </w:rPr>
        <w:t>Turnitin</w:t>
      </w:r>
      <w:proofErr w:type="spellEnd"/>
      <w:r>
        <w:rPr>
          <w:color w:val="2C3841"/>
          <w:highlight w:val="white"/>
        </w:rPr>
        <w:t xml:space="preserve"> Feedba</w:t>
      </w:r>
      <w:r>
        <w:rPr>
          <w:color w:val="2C3841"/>
          <w:highlight w:val="white"/>
        </w:rPr>
        <w:t xml:space="preserve">ck Studio </w:t>
      </w:r>
      <w:proofErr w:type="gramStart"/>
      <w:r>
        <w:rPr>
          <w:color w:val="2C3841"/>
          <w:highlight w:val="white"/>
        </w:rPr>
        <w:t>to :</w:t>
      </w:r>
      <w:proofErr w:type="gramEnd"/>
    </w:p>
    <w:p w:rsidR="00BA3726" w:rsidRDefault="00BA3726">
      <w:pPr>
        <w:rPr>
          <w:color w:val="2C3841"/>
          <w:highlight w:val="white"/>
        </w:rPr>
      </w:pPr>
    </w:p>
    <w:p w:rsidR="00BA3726" w:rsidRDefault="00C944E5">
      <w:pPr>
        <w:numPr>
          <w:ilvl w:val="0"/>
          <w:numId w:val="2"/>
        </w:numPr>
        <w:contextualSpacing/>
        <w:rPr>
          <w:color w:val="2C3841"/>
          <w:highlight w:val="white"/>
        </w:rPr>
      </w:pPr>
      <w:r>
        <w:rPr>
          <w:color w:val="2C3841"/>
          <w:highlight w:val="white"/>
        </w:rPr>
        <w:t xml:space="preserve">Create </w:t>
      </w:r>
      <w:hyperlink r:id="rId17">
        <w:r>
          <w:rPr>
            <w:b/>
            <w:color w:val="1155CC"/>
            <w:highlight w:val="white"/>
            <w:u w:val="single"/>
          </w:rPr>
          <w:t>Rubrics</w:t>
        </w:r>
      </w:hyperlink>
      <w:hyperlink r:id="rId18">
        <w:r>
          <w:rPr>
            <w:b/>
            <w:color w:val="1155CC"/>
            <w:highlight w:val="white"/>
            <w:u w:val="single"/>
          </w:rPr>
          <w:t xml:space="preserve"> </w:t>
        </w:r>
      </w:hyperlink>
      <w:r>
        <w:rPr>
          <w:color w:val="2C3841"/>
          <w:highlight w:val="white"/>
        </w:rPr>
        <w:t>detailing clearly defined marking criteria</w:t>
      </w:r>
    </w:p>
    <w:p w:rsidR="00BA3726" w:rsidRDefault="00BA3726">
      <w:pPr>
        <w:rPr>
          <w:color w:val="2C3841"/>
          <w:highlight w:val="white"/>
        </w:rPr>
      </w:pPr>
    </w:p>
    <w:p w:rsidR="00BA3726" w:rsidRDefault="00C944E5">
      <w:pPr>
        <w:numPr>
          <w:ilvl w:val="0"/>
          <w:numId w:val="2"/>
        </w:numPr>
        <w:contextualSpacing/>
        <w:rPr>
          <w:color w:val="2C3841"/>
          <w:highlight w:val="white"/>
        </w:rPr>
      </w:pPr>
      <w:r>
        <w:rPr>
          <w:color w:val="2C3841"/>
          <w:highlight w:val="white"/>
        </w:rPr>
        <w:t xml:space="preserve">Use </w:t>
      </w:r>
      <w:hyperlink r:id="rId19">
        <w:proofErr w:type="spellStart"/>
        <w:r>
          <w:rPr>
            <w:b/>
            <w:color w:val="1155CC"/>
            <w:highlight w:val="white"/>
            <w:u w:val="single"/>
          </w:rPr>
          <w:t>QuickMarks</w:t>
        </w:r>
        <w:proofErr w:type="spellEnd"/>
      </w:hyperlink>
      <w:r>
        <w:rPr>
          <w:b/>
          <w:color w:val="2C3841"/>
          <w:highlight w:val="white"/>
        </w:rPr>
        <w:t xml:space="preserve"> </w:t>
      </w:r>
      <w:r>
        <w:rPr>
          <w:color w:val="2C3841"/>
          <w:highlight w:val="white"/>
        </w:rPr>
        <w:t>to create sets of commonly used feedback comments which can be accessed speedily while marking and reviewing student assignments</w:t>
      </w:r>
    </w:p>
    <w:p w:rsidR="00BA3726" w:rsidRDefault="00C944E5">
      <w:pPr>
        <w:jc w:val="center"/>
        <w:rPr>
          <w:color w:val="2C3841"/>
          <w:highlight w:val="white"/>
        </w:rPr>
      </w:pPr>
      <w:r>
        <w:rPr>
          <w:noProof/>
          <w:color w:val="2C3841"/>
          <w:highlight w:val="white"/>
        </w:rPr>
        <w:lastRenderedPageBreak/>
        <w:drawing>
          <wp:inline distT="114300" distB="114300" distL="114300" distR="114300">
            <wp:extent cx="1809750" cy="2705100"/>
            <wp:effectExtent l="0" t="0" r="0" b="0"/>
            <wp:docPr id="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1809750" cy="2705100"/>
                    </a:xfrm>
                    <a:prstGeom prst="rect">
                      <a:avLst/>
                    </a:prstGeom>
                    <a:ln/>
                  </pic:spPr>
                </pic:pic>
              </a:graphicData>
            </a:graphic>
          </wp:inline>
        </w:drawing>
      </w:r>
    </w:p>
    <w:p w:rsidR="00BA3726" w:rsidRDefault="00BA3726">
      <w:pPr>
        <w:jc w:val="center"/>
        <w:rPr>
          <w:color w:val="2C3841"/>
          <w:highlight w:val="white"/>
        </w:rPr>
      </w:pPr>
    </w:p>
    <w:p w:rsidR="00BA3726" w:rsidRDefault="00BA3726">
      <w:pPr>
        <w:rPr>
          <w:color w:val="2C3841"/>
          <w:highlight w:val="white"/>
        </w:rPr>
      </w:pPr>
    </w:p>
    <w:p w:rsidR="00BA3726" w:rsidRDefault="00C944E5">
      <w:pPr>
        <w:numPr>
          <w:ilvl w:val="0"/>
          <w:numId w:val="2"/>
        </w:numPr>
        <w:contextualSpacing/>
        <w:rPr>
          <w:color w:val="2C3841"/>
          <w:highlight w:val="white"/>
        </w:rPr>
      </w:pPr>
      <w:r>
        <w:rPr>
          <w:color w:val="2C3841"/>
          <w:highlight w:val="white"/>
        </w:rPr>
        <w:t xml:space="preserve">Using </w:t>
      </w:r>
      <w:r>
        <w:rPr>
          <w:b/>
          <w:color w:val="2C3841"/>
          <w:highlight w:val="white"/>
        </w:rPr>
        <w:t xml:space="preserve">Grade Centre in </w:t>
      </w:r>
      <w:proofErr w:type="spellStart"/>
      <w:r>
        <w:rPr>
          <w:b/>
          <w:color w:val="2C3841"/>
          <w:highlight w:val="white"/>
        </w:rPr>
        <w:t>GCULearn</w:t>
      </w:r>
      <w:proofErr w:type="spellEnd"/>
      <w:r>
        <w:rPr>
          <w:color w:val="2C3841"/>
          <w:highlight w:val="white"/>
        </w:rPr>
        <w:t xml:space="preserve"> to:</w:t>
      </w:r>
    </w:p>
    <w:p w:rsidR="00BA3726" w:rsidRDefault="00BA3726">
      <w:pPr>
        <w:rPr>
          <w:color w:val="2C3841"/>
          <w:highlight w:val="white"/>
        </w:rPr>
      </w:pPr>
    </w:p>
    <w:p w:rsidR="00BA3726" w:rsidRDefault="00C944E5">
      <w:pPr>
        <w:numPr>
          <w:ilvl w:val="1"/>
          <w:numId w:val="2"/>
        </w:numPr>
        <w:contextualSpacing/>
        <w:rPr>
          <w:color w:val="2C3841"/>
          <w:highlight w:val="white"/>
        </w:rPr>
      </w:pPr>
      <w:r>
        <w:rPr>
          <w:color w:val="2C3841"/>
          <w:highlight w:val="white"/>
        </w:rPr>
        <w:t xml:space="preserve"> </w:t>
      </w:r>
      <w:r>
        <w:rPr>
          <w:b/>
          <w:color w:val="2C3841"/>
          <w:highlight w:val="white"/>
        </w:rPr>
        <w:t>download submissions</w:t>
      </w:r>
      <w:r>
        <w:rPr>
          <w:color w:val="2C3841"/>
          <w:highlight w:val="white"/>
        </w:rPr>
        <w:t xml:space="preserve">, and </w:t>
      </w:r>
      <w:r>
        <w:rPr>
          <w:b/>
          <w:color w:val="2C3841"/>
          <w:highlight w:val="white"/>
        </w:rPr>
        <w:t>enter marks and feedback</w:t>
      </w:r>
    </w:p>
    <w:p w:rsidR="00BA3726" w:rsidRDefault="00BA3726">
      <w:pPr>
        <w:rPr>
          <w:b/>
          <w:color w:val="2C3841"/>
          <w:highlight w:val="white"/>
        </w:rPr>
      </w:pPr>
    </w:p>
    <w:p w:rsidR="00BA3726" w:rsidRDefault="00C944E5">
      <w:pPr>
        <w:numPr>
          <w:ilvl w:val="1"/>
          <w:numId w:val="2"/>
        </w:numPr>
        <w:contextualSpacing/>
        <w:rPr>
          <w:color w:val="2C3841"/>
          <w:highlight w:val="white"/>
        </w:rPr>
      </w:pPr>
      <w:r>
        <w:rPr>
          <w:b/>
          <w:color w:val="2C3841"/>
          <w:highlight w:val="white"/>
        </w:rPr>
        <w:t xml:space="preserve">view MCQ test </w:t>
      </w:r>
      <w:r>
        <w:rPr>
          <w:color w:val="2C3841"/>
          <w:highlight w:val="white"/>
        </w:rPr>
        <w:t xml:space="preserve">and </w:t>
      </w:r>
      <w:r>
        <w:rPr>
          <w:b/>
          <w:color w:val="2C3841"/>
          <w:highlight w:val="white"/>
        </w:rPr>
        <w:t>quiz results</w:t>
      </w:r>
    </w:p>
    <w:p w:rsidR="00BA3726" w:rsidRDefault="00BA3726">
      <w:pPr>
        <w:rPr>
          <w:color w:val="2C3841"/>
          <w:highlight w:val="white"/>
        </w:rPr>
      </w:pPr>
    </w:p>
    <w:p w:rsidR="00BA3726" w:rsidRDefault="00C944E5">
      <w:pPr>
        <w:numPr>
          <w:ilvl w:val="1"/>
          <w:numId w:val="2"/>
        </w:numPr>
        <w:contextualSpacing/>
        <w:rPr>
          <w:color w:val="2C3841"/>
          <w:highlight w:val="white"/>
        </w:rPr>
      </w:pPr>
      <w:r>
        <w:rPr>
          <w:b/>
          <w:color w:val="2C3841"/>
          <w:highlight w:val="white"/>
        </w:rPr>
        <w:t xml:space="preserve">monitor marking progress </w:t>
      </w:r>
      <w:r>
        <w:rPr>
          <w:color w:val="2C3841"/>
          <w:highlight w:val="white"/>
        </w:rPr>
        <w:t>where there are teams of markers</w:t>
      </w:r>
    </w:p>
    <w:p w:rsidR="00BA3726" w:rsidRDefault="00C944E5">
      <w:pPr>
        <w:ind w:left="720"/>
        <w:rPr>
          <w:color w:val="2C3841"/>
          <w:highlight w:val="white"/>
        </w:rPr>
      </w:pPr>
      <w:r>
        <w:rPr>
          <w:color w:val="2C3841"/>
          <w:highlight w:val="white"/>
        </w:rPr>
        <w:t xml:space="preserve">  </w:t>
      </w:r>
    </w:p>
    <w:p w:rsidR="00BA3726" w:rsidRDefault="00C944E5">
      <w:pPr>
        <w:numPr>
          <w:ilvl w:val="1"/>
          <w:numId w:val="2"/>
        </w:numPr>
        <w:contextualSpacing/>
        <w:rPr>
          <w:color w:val="2C3841"/>
          <w:highlight w:val="white"/>
        </w:rPr>
      </w:pPr>
      <w:r>
        <w:rPr>
          <w:b/>
          <w:color w:val="2C3841"/>
          <w:highlight w:val="white"/>
        </w:rPr>
        <w:t>hide or reveal student marks</w:t>
      </w:r>
      <w:r>
        <w:rPr>
          <w:color w:val="2C3841"/>
          <w:highlight w:val="white"/>
        </w:rPr>
        <w:t xml:space="preserve"> at an appropriate time</w:t>
      </w:r>
    </w:p>
    <w:p w:rsidR="00BA3726" w:rsidRDefault="00BA3726">
      <w:pPr>
        <w:rPr>
          <w:color w:val="2C3841"/>
          <w:highlight w:val="white"/>
        </w:rPr>
      </w:pPr>
    </w:p>
    <w:p w:rsidR="00BA3726" w:rsidRDefault="00C944E5">
      <w:pPr>
        <w:numPr>
          <w:ilvl w:val="1"/>
          <w:numId w:val="2"/>
        </w:numPr>
        <w:contextualSpacing/>
        <w:rPr>
          <w:color w:val="2C3841"/>
          <w:highlight w:val="white"/>
        </w:rPr>
      </w:pPr>
      <w:proofErr w:type="gramStart"/>
      <w:r>
        <w:rPr>
          <w:b/>
          <w:color w:val="2C3841"/>
          <w:highlight w:val="white"/>
        </w:rPr>
        <w:t>create</w:t>
      </w:r>
      <w:proofErr w:type="gramEnd"/>
      <w:r>
        <w:rPr>
          <w:b/>
          <w:color w:val="2C3841"/>
          <w:highlight w:val="white"/>
        </w:rPr>
        <w:t xml:space="preserve"> customisable reports</w:t>
      </w:r>
      <w:r>
        <w:rPr>
          <w:color w:val="2C3841"/>
          <w:highlight w:val="white"/>
        </w:rPr>
        <w:t xml:space="preserve"> for modules, groups of students,  defined categories or marking periods.</w:t>
      </w:r>
    </w:p>
    <w:p w:rsidR="00BA3726" w:rsidRDefault="00BA3726">
      <w:pPr>
        <w:ind w:left="720"/>
        <w:rPr>
          <w:color w:val="2C3841"/>
          <w:highlight w:val="white"/>
        </w:rPr>
      </w:pPr>
    </w:p>
    <w:p w:rsidR="00BA3726" w:rsidRDefault="00BA3726">
      <w:pPr>
        <w:rPr>
          <w:color w:val="2C3841"/>
          <w:highlight w:val="white"/>
        </w:rPr>
      </w:pPr>
    </w:p>
    <w:p w:rsidR="00BA3726" w:rsidRDefault="00C944E5">
      <w:pPr>
        <w:jc w:val="center"/>
        <w:rPr>
          <w:color w:val="2C3841"/>
          <w:highlight w:val="white"/>
        </w:rPr>
      </w:pPr>
      <w:r>
        <w:rPr>
          <w:noProof/>
          <w:color w:val="2C3841"/>
          <w:highlight w:val="white"/>
        </w:rPr>
        <w:drawing>
          <wp:inline distT="114300" distB="114300" distL="114300" distR="114300">
            <wp:extent cx="5195888" cy="2356275"/>
            <wp:effectExtent l="0" t="0" r="0" b="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1"/>
                    <a:srcRect/>
                    <a:stretch>
                      <a:fillRect/>
                    </a:stretch>
                  </pic:blipFill>
                  <pic:spPr>
                    <a:xfrm>
                      <a:off x="0" y="0"/>
                      <a:ext cx="5195888" cy="2356275"/>
                    </a:xfrm>
                    <a:prstGeom prst="rect">
                      <a:avLst/>
                    </a:prstGeom>
                    <a:ln/>
                  </pic:spPr>
                </pic:pic>
              </a:graphicData>
            </a:graphic>
          </wp:inline>
        </w:drawing>
      </w:r>
    </w:p>
    <w:p w:rsidR="00BA3726" w:rsidRDefault="00BA3726"/>
    <w:p w:rsidR="00BA3726" w:rsidRDefault="00C944E5">
      <w:r>
        <w:t>Further guidance on ho</w:t>
      </w:r>
      <w:r>
        <w:t xml:space="preserve">w to use the different features of Grade Centre can be found under the </w:t>
      </w:r>
      <w:r>
        <w:rPr>
          <w:b/>
        </w:rPr>
        <w:t>Staff Help Tab</w:t>
      </w:r>
      <w:r>
        <w:t xml:space="preserve"> in </w:t>
      </w:r>
      <w:proofErr w:type="spellStart"/>
      <w:r>
        <w:t>GCULearn</w:t>
      </w:r>
      <w:proofErr w:type="spellEnd"/>
      <w:r>
        <w:t xml:space="preserve"> and in the </w:t>
      </w:r>
      <w:hyperlink r:id="rId22">
        <w:r>
          <w:rPr>
            <w:color w:val="1155CC"/>
            <w:u w:val="single"/>
          </w:rPr>
          <w:t>Blackboard videos for instructors</w:t>
        </w:r>
      </w:hyperlink>
      <w:r>
        <w:t>.</w:t>
      </w:r>
    </w:p>
    <w:p w:rsidR="00BA3726" w:rsidRDefault="00BA3726">
      <w:pPr>
        <w:rPr>
          <w:b/>
        </w:rPr>
      </w:pPr>
    </w:p>
    <w:p w:rsidR="00BA3726" w:rsidRDefault="00BA3726">
      <w:pPr>
        <w:rPr>
          <w:b/>
        </w:rPr>
      </w:pPr>
    </w:p>
    <w:p w:rsidR="00BA3726" w:rsidRDefault="00C944E5">
      <w:pPr>
        <w:rPr>
          <w:b/>
          <w:sz w:val="24"/>
          <w:szCs w:val="24"/>
        </w:rPr>
      </w:pPr>
      <w:r>
        <w:rPr>
          <w:b/>
          <w:sz w:val="24"/>
          <w:szCs w:val="24"/>
        </w:rPr>
        <w:t>4. Digital Feedback</w:t>
      </w:r>
    </w:p>
    <w:p w:rsidR="00BA3726" w:rsidRDefault="00C944E5">
      <w:pPr>
        <w:rPr>
          <w:b/>
        </w:rPr>
      </w:pPr>
      <w:r>
        <w:rPr>
          <w:noProof/>
        </w:rPr>
        <w:drawing>
          <wp:anchor distT="114300" distB="114300" distL="114300" distR="114300" simplePos="0" relativeHeight="251661312" behindDoc="0" locked="0" layoutInCell="1" hidden="0" allowOverlap="1">
            <wp:simplePos x="0" y="0"/>
            <wp:positionH relativeFrom="margin">
              <wp:posOffset>-95249</wp:posOffset>
            </wp:positionH>
            <wp:positionV relativeFrom="paragraph">
              <wp:posOffset>95250</wp:posOffset>
            </wp:positionV>
            <wp:extent cx="1504950" cy="923925"/>
            <wp:effectExtent l="0" t="0" r="0" b="0"/>
            <wp:wrapSquare wrapText="bothSides" distT="114300" distB="114300" distL="114300" distR="114300"/>
            <wp:docPr id="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3"/>
                    <a:srcRect/>
                    <a:stretch>
                      <a:fillRect/>
                    </a:stretch>
                  </pic:blipFill>
                  <pic:spPr>
                    <a:xfrm>
                      <a:off x="0" y="0"/>
                      <a:ext cx="1504950" cy="923925"/>
                    </a:xfrm>
                    <a:prstGeom prst="rect">
                      <a:avLst/>
                    </a:prstGeom>
                    <a:ln/>
                  </pic:spPr>
                </pic:pic>
              </a:graphicData>
            </a:graphic>
          </wp:anchor>
        </w:drawing>
      </w:r>
    </w:p>
    <w:p w:rsidR="00BA3726" w:rsidRDefault="00BA3726"/>
    <w:p w:rsidR="00BA3726" w:rsidRDefault="00C944E5">
      <w:r>
        <w:t>Providing feedback in d</w:t>
      </w:r>
      <w:r>
        <w:t>igital form can be very helpful for students as they can take time to read, watch or listen to it when it suits them, and return to it later for revision purposes. When managed effectively, it can potentially save time for staff. Feedback to students shoul</w:t>
      </w:r>
      <w:r>
        <w:t xml:space="preserve">d also reflect the </w:t>
      </w:r>
      <w:hyperlink r:id="rId24">
        <w:r>
          <w:rPr>
            <w:color w:val="1155CC"/>
            <w:u w:val="single"/>
          </w:rPr>
          <w:t>Student Performance Feedback Policy</w:t>
        </w:r>
      </w:hyperlink>
      <w:r>
        <w:rPr>
          <w:b/>
        </w:rPr>
        <w:t xml:space="preserve"> </w:t>
      </w:r>
      <w:r>
        <w:t xml:space="preserve">(pdf). </w:t>
      </w:r>
    </w:p>
    <w:p w:rsidR="00BA3726" w:rsidRDefault="00BA3726"/>
    <w:p w:rsidR="00BA3726" w:rsidRDefault="00C944E5">
      <w:r>
        <w:t>Approaches can include:</w:t>
      </w:r>
    </w:p>
    <w:p w:rsidR="00BA3726" w:rsidRDefault="00BA3726"/>
    <w:p w:rsidR="00BA3726" w:rsidRDefault="00C944E5">
      <w:pPr>
        <w:numPr>
          <w:ilvl w:val="0"/>
          <w:numId w:val="4"/>
        </w:numPr>
        <w:spacing w:after="200"/>
      </w:pPr>
      <w:r>
        <w:rPr>
          <w:b/>
        </w:rPr>
        <w:t>marks and feedback forms</w:t>
      </w:r>
      <w:r>
        <w:t xml:space="preserve"> made available to students through </w:t>
      </w:r>
      <w:proofErr w:type="spellStart"/>
      <w:r>
        <w:t>GCULearn</w:t>
      </w:r>
      <w:proofErr w:type="spellEnd"/>
      <w:r>
        <w:t xml:space="preserve"> Grade Centre</w:t>
      </w:r>
    </w:p>
    <w:p w:rsidR="00BA3726" w:rsidRDefault="00C944E5">
      <w:pPr>
        <w:numPr>
          <w:ilvl w:val="0"/>
          <w:numId w:val="4"/>
        </w:numPr>
        <w:spacing w:after="200"/>
      </w:pPr>
      <w:r>
        <w:rPr>
          <w:b/>
        </w:rPr>
        <w:t xml:space="preserve">a discussion board, announcement or blog post </w:t>
      </w:r>
      <w:r>
        <w:t xml:space="preserve">for generic feedback highlighting key points to all students in a cohort on GCU Learn </w:t>
      </w:r>
    </w:p>
    <w:p w:rsidR="00BA3726" w:rsidRDefault="00C944E5">
      <w:pPr>
        <w:spacing w:after="200"/>
        <w:jc w:val="center"/>
      </w:pPr>
      <w:r>
        <w:rPr>
          <w:noProof/>
        </w:rPr>
        <w:drawing>
          <wp:inline distT="114300" distB="114300" distL="114300" distR="114300">
            <wp:extent cx="4949663" cy="3820462"/>
            <wp:effectExtent l="0" t="0" r="0"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5"/>
                    <a:srcRect/>
                    <a:stretch>
                      <a:fillRect/>
                    </a:stretch>
                  </pic:blipFill>
                  <pic:spPr>
                    <a:xfrm>
                      <a:off x="0" y="0"/>
                      <a:ext cx="4949663" cy="3820462"/>
                    </a:xfrm>
                    <a:prstGeom prst="rect">
                      <a:avLst/>
                    </a:prstGeom>
                    <a:ln/>
                  </pic:spPr>
                </pic:pic>
              </a:graphicData>
            </a:graphic>
          </wp:inline>
        </w:drawing>
      </w:r>
    </w:p>
    <w:p w:rsidR="00BA3726" w:rsidRDefault="00C944E5">
      <w:pPr>
        <w:numPr>
          <w:ilvl w:val="0"/>
          <w:numId w:val="4"/>
        </w:numPr>
        <w:spacing w:after="200"/>
      </w:pPr>
      <w:r>
        <w:rPr>
          <w:b/>
        </w:rPr>
        <w:t>‘in-line’ feedback on Word documents</w:t>
      </w:r>
      <w:r>
        <w:t xml:space="preserve"> to</w:t>
      </w:r>
      <w:r>
        <w:t xml:space="preserve"> individual students via email</w:t>
      </w:r>
    </w:p>
    <w:p w:rsidR="00BA3726" w:rsidRDefault="00C944E5">
      <w:pPr>
        <w:numPr>
          <w:ilvl w:val="0"/>
          <w:numId w:val="4"/>
        </w:numPr>
        <w:spacing w:after="200"/>
      </w:pPr>
      <w:r>
        <w:rPr>
          <w:b/>
        </w:rPr>
        <w:t xml:space="preserve">‘in-line’ feedback </w:t>
      </w:r>
      <w:r>
        <w:t xml:space="preserve">via </w:t>
      </w:r>
      <w:proofErr w:type="spellStart"/>
      <w:r>
        <w:t>Turnitin</w:t>
      </w:r>
      <w:proofErr w:type="spellEnd"/>
      <w:r>
        <w:t xml:space="preserve"> Feedback Studio</w:t>
      </w:r>
      <w:hyperlink r:id="rId26">
        <w:r>
          <w:rPr>
            <w:b/>
            <w:color w:val="1155CC"/>
            <w:u w:val="single"/>
          </w:rPr>
          <w:t xml:space="preserve"> commenting tools</w:t>
        </w:r>
      </w:hyperlink>
      <w:r>
        <w:t xml:space="preserve"> where assignments have been submitted online through </w:t>
      </w:r>
      <w:proofErr w:type="spellStart"/>
      <w:r>
        <w:t>Turnitin</w:t>
      </w:r>
      <w:proofErr w:type="spellEnd"/>
      <w:r>
        <w:t xml:space="preserve"> Feedback Studio (accessed via </w:t>
      </w:r>
      <w:proofErr w:type="spellStart"/>
      <w:r>
        <w:t>GCULearn</w:t>
      </w:r>
      <w:proofErr w:type="spellEnd"/>
      <w:r>
        <w:t xml:space="preserve">) </w:t>
      </w:r>
    </w:p>
    <w:p w:rsidR="00BA3726" w:rsidRDefault="00C944E5">
      <w:pPr>
        <w:numPr>
          <w:ilvl w:val="0"/>
          <w:numId w:val="4"/>
        </w:numPr>
        <w:spacing w:after="200"/>
      </w:pPr>
      <w:r>
        <w:rPr>
          <w:b/>
        </w:rPr>
        <w:t xml:space="preserve">Rubrics </w:t>
      </w:r>
      <w:r>
        <w:t xml:space="preserve">with criteria for grades, most commonly via </w:t>
      </w:r>
      <w:proofErr w:type="spellStart"/>
      <w:r>
        <w:t>Turnitin</w:t>
      </w:r>
      <w:proofErr w:type="spellEnd"/>
      <w:r>
        <w:t xml:space="preserve"> Feedback Studio</w:t>
      </w:r>
      <w:r>
        <w:rPr>
          <w:b/>
        </w:rPr>
        <w:t xml:space="preserve"> </w:t>
      </w:r>
      <w:hyperlink r:id="rId27">
        <w:r>
          <w:rPr>
            <w:b/>
            <w:color w:val="1155CC"/>
            <w:u w:val="single"/>
          </w:rPr>
          <w:t>Rubrics</w:t>
        </w:r>
      </w:hyperlink>
    </w:p>
    <w:p w:rsidR="00BA3726" w:rsidRDefault="00C944E5">
      <w:pPr>
        <w:numPr>
          <w:ilvl w:val="0"/>
          <w:numId w:val="4"/>
        </w:numPr>
        <w:spacing w:after="200"/>
      </w:pPr>
      <w:proofErr w:type="gramStart"/>
      <w:r>
        <w:rPr>
          <w:b/>
        </w:rPr>
        <w:lastRenderedPageBreak/>
        <w:t>re-usable</w:t>
      </w:r>
      <w:proofErr w:type="gramEnd"/>
      <w:r>
        <w:rPr>
          <w:b/>
        </w:rPr>
        <w:t xml:space="preserve"> feedback comments </w:t>
      </w:r>
      <w:r>
        <w:t xml:space="preserve">added to documents, e.g. through using </w:t>
      </w:r>
      <w:proofErr w:type="spellStart"/>
      <w:r>
        <w:t>Turnitin</w:t>
      </w:r>
      <w:proofErr w:type="spellEnd"/>
      <w:r>
        <w:t xml:space="preserve"> Feedback Studio’s </w:t>
      </w:r>
      <w:hyperlink r:id="rId28">
        <w:proofErr w:type="spellStart"/>
        <w:r>
          <w:rPr>
            <w:b/>
            <w:color w:val="1155CC"/>
            <w:u w:val="single"/>
          </w:rPr>
          <w:t>Quickmarks</w:t>
        </w:r>
        <w:proofErr w:type="spellEnd"/>
      </w:hyperlink>
      <w:hyperlink r:id="rId29">
        <w:r>
          <w:rPr>
            <w:color w:val="1155CC"/>
            <w:u w:val="single"/>
          </w:rPr>
          <w:t xml:space="preserve"> </w:t>
        </w:r>
      </w:hyperlink>
      <w:r>
        <w:t>feature.</w:t>
      </w:r>
    </w:p>
    <w:p w:rsidR="00BA3726" w:rsidRDefault="00C944E5">
      <w:pPr>
        <w:numPr>
          <w:ilvl w:val="0"/>
          <w:numId w:val="4"/>
        </w:numPr>
        <w:spacing w:after="200"/>
      </w:pPr>
      <w:r>
        <w:rPr>
          <w:b/>
        </w:rPr>
        <w:t>audio feedback</w:t>
      </w:r>
      <w:r>
        <w:t xml:space="preserve"> (up to 3 minute) comments vi</w:t>
      </w:r>
      <w:r>
        <w:t xml:space="preserve">a Feedback Studio’s </w:t>
      </w:r>
      <w:hyperlink r:id="rId30">
        <w:r>
          <w:rPr>
            <w:color w:val="1155CC"/>
            <w:u w:val="single"/>
          </w:rPr>
          <w:t>commenting tools</w:t>
        </w:r>
      </w:hyperlink>
      <w:r>
        <w:t xml:space="preserve"> (section 2.1) </w:t>
      </w:r>
    </w:p>
    <w:p w:rsidR="00BA3726" w:rsidRDefault="00C944E5">
      <w:pPr>
        <w:numPr>
          <w:ilvl w:val="0"/>
          <w:numId w:val="4"/>
        </w:numPr>
        <w:spacing w:after="200"/>
      </w:pPr>
      <w:r>
        <w:rPr>
          <w:b/>
        </w:rPr>
        <w:t xml:space="preserve">similarity ratings </w:t>
      </w:r>
      <w:r>
        <w:t xml:space="preserve">generated through </w:t>
      </w:r>
      <w:proofErr w:type="spellStart"/>
      <w:r>
        <w:t>TurnitIn</w:t>
      </w:r>
      <w:proofErr w:type="spellEnd"/>
    </w:p>
    <w:p w:rsidR="00BA3726" w:rsidRDefault="00C944E5">
      <w:pPr>
        <w:numPr>
          <w:ilvl w:val="0"/>
          <w:numId w:val="4"/>
        </w:numPr>
        <w:spacing w:after="200"/>
      </w:pPr>
      <w:proofErr w:type="gramStart"/>
      <w:r>
        <w:rPr>
          <w:b/>
        </w:rPr>
        <w:t>personal</w:t>
      </w:r>
      <w:proofErr w:type="gramEnd"/>
      <w:r>
        <w:rPr>
          <w:b/>
        </w:rPr>
        <w:t xml:space="preserve"> response sys</w:t>
      </w:r>
      <w:r>
        <w:rPr>
          <w:b/>
        </w:rPr>
        <w:t>tems</w:t>
      </w:r>
      <w:r>
        <w:t xml:space="preserve"> (clickers, if available) or </w:t>
      </w:r>
      <w:r>
        <w:rPr>
          <w:b/>
        </w:rPr>
        <w:t>mobile polling apps</w:t>
      </w:r>
      <w:r>
        <w:t xml:space="preserve"> (e.g. </w:t>
      </w:r>
      <w:hyperlink r:id="rId31">
        <w:r>
          <w:rPr>
            <w:color w:val="1155CC"/>
            <w:u w:val="single"/>
          </w:rPr>
          <w:t>Poll Everywhere</w:t>
        </w:r>
      </w:hyperlink>
      <w:r>
        <w:t xml:space="preserve">, </w:t>
      </w:r>
      <w:hyperlink r:id="rId32">
        <w:proofErr w:type="spellStart"/>
        <w:r>
          <w:rPr>
            <w:color w:val="1155CC"/>
            <w:u w:val="single"/>
          </w:rPr>
          <w:t>Socrative</w:t>
        </w:r>
        <w:proofErr w:type="spellEnd"/>
      </w:hyperlink>
      <w:r>
        <w:t xml:space="preserve">, </w:t>
      </w:r>
      <w:hyperlink r:id="rId33">
        <w:proofErr w:type="spellStart"/>
        <w:r>
          <w:rPr>
            <w:color w:val="1155CC"/>
            <w:u w:val="single"/>
          </w:rPr>
          <w:t>Mentimeter</w:t>
        </w:r>
        <w:proofErr w:type="spellEnd"/>
      </w:hyperlink>
      <w:r>
        <w:t>) in lectures a</w:t>
      </w:r>
      <w:r>
        <w:t>nd seminars, with collated student responses used to gauge understanding and provide formative feedback.</w:t>
      </w:r>
    </w:p>
    <w:p w:rsidR="00BA3726" w:rsidRDefault="00C944E5">
      <w:pPr>
        <w:numPr>
          <w:ilvl w:val="0"/>
          <w:numId w:val="4"/>
        </w:numPr>
        <w:spacing w:after="200"/>
      </w:pPr>
      <w:hyperlink r:id="rId34">
        <w:proofErr w:type="spellStart"/>
        <w:r>
          <w:rPr>
            <w:b/>
            <w:color w:val="1155CC"/>
            <w:u w:val="single"/>
          </w:rPr>
          <w:t>Padlet</w:t>
        </w:r>
        <w:proofErr w:type="spellEnd"/>
        <w:r>
          <w:rPr>
            <w:b/>
            <w:color w:val="1155CC"/>
            <w:u w:val="single"/>
          </w:rPr>
          <w:t xml:space="preserve"> </w:t>
        </w:r>
      </w:hyperlink>
      <w:r>
        <w:rPr>
          <w:b/>
        </w:rPr>
        <w:t xml:space="preserve">or </w:t>
      </w:r>
      <w:hyperlink r:id="rId35">
        <w:r>
          <w:rPr>
            <w:b/>
            <w:color w:val="1155CC"/>
            <w:u w:val="single"/>
          </w:rPr>
          <w:t xml:space="preserve">Trello </w:t>
        </w:r>
      </w:hyperlink>
      <w:r>
        <w:t xml:space="preserve">for shared feedback, comments and suggestions </w:t>
      </w:r>
    </w:p>
    <w:p w:rsidR="00BA3726" w:rsidRDefault="00C944E5">
      <w:pPr>
        <w:spacing w:after="200"/>
        <w:jc w:val="center"/>
      </w:pPr>
      <w:r>
        <w:rPr>
          <w:noProof/>
        </w:rPr>
        <w:drawing>
          <wp:inline distT="114300" distB="114300" distL="114300" distR="114300">
            <wp:extent cx="3944775" cy="3086461"/>
            <wp:effectExtent l="12700" t="12700" r="12700" b="1270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6"/>
                    <a:srcRect/>
                    <a:stretch>
                      <a:fillRect/>
                    </a:stretch>
                  </pic:blipFill>
                  <pic:spPr>
                    <a:xfrm>
                      <a:off x="0" y="0"/>
                      <a:ext cx="3944775" cy="3086461"/>
                    </a:xfrm>
                    <a:prstGeom prst="rect">
                      <a:avLst/>
                    </a:prstGeom>
                    <a:ln w="12700">
                      <a:solidFill>
                        <a:srgbClr val="000000"/>
                      </a:solidFill>
                      <a:prstDash val="solid"/>
                    </a:ln>
                  </pic:spPr>
                </pic:pic>
              </a:graphicData>
            </a:graphic>
          </wp:inline>
        </w:drawing>
      </w:r>
    </w:p>
    <w:p w:rsidR="00BA3726" w:rsidRDefault="00BA3726">
      <w:pPr>
        <w:spacing w:after="200"/>
        <w:jc w:val="center"/>
      </w:pPr>
    </w:p>
    <w:p w:rsidR="00BA3726" w:rsidRDefault="00C944E5">
      <w:pPr>
        <w:numPr>
          <w:ilvl w:val="0"/>
          <w:numId w:val="4"/>
        </w:numPr>
        <w:spacing w:after="200"/>
      </w:pPr>
      <w:r>
        <w:rPr>
          <w:b/>
        </w:rPr>
        <w:t>Peer a</w:t>
      </w:r>
      <w:r>
        <w:rPr>
          <w:b/>
        </w:rPr>
        <w:t>ssessment</w:t>
      </w:r>
      <w:r>
        <w:t xml:space="preserve"> through specialist applications such as </w:t>
      </w:r>
      <w:hyperlink r:id="rId37">
        <w:proofErr w:type="spellStart"/>
        <w:r>
          <w:rPr>
            <w:color w:val="1155CC"/>
            <w:u w:val="single"/>
          </w:rPr>
          <w:t>WebPA</w:t>
        </w:r>
        <w:proofErr w:type="spellEnd"/>
      </w:hyperlink>
    </w:p>
    <w:p w:rsidR="00BA3726" w:rsidRDefault="00C944E5">
      <w:pPr>
        <w:numPr>
          <w:ilvl w:val="0"/>
          <w:numId w:val="4"/>
        </w:numPr>
        <w:spacing w:after="200"/>
      </w:pPr>
      <w:r>
        <w:rPr>
          <w:b/>
        </w:rPr>
        <w:t>Short tutor videos</w:t>
      </w:r>
      <w:r>
        <w:t xml:space="preserve"> explaining key feedback points to a class or group uploaded to </w:t>
      </w:r>
      <w:proofErr w:type="spellStart"/>
      <w:r>
        <w:t>Edshare</w:t>
      </w:r>
      <w:proofErr w:type="spellEnd"/>
      <w:r>
        <w:t xml:space="preserve"> or </w:t>
      </w:r>
      <w:proofErr w:type="spellStart"/>
      <w:r>
        <w:t>Youtube</w:t>
      </w:r>
      <w:proofErr w:type="spellEnd"/>
      <w:r>
        <w:t xml:space="preserve"> and embedded in </w:t>
      </w:r>
      <w:proofErr w:type="spellStart"/>
      <w:r>
        <w:t>GCULearn</w:t>
      </w:r>
      <w:proofErr w:type="spellEnd"/>
    </w:p>
    <w:p w:rsidR="00BA3726" w:rsidRDefault="00C944E5">
      <w:r>
        <w:t>For support and guidan</w:t>
      </w:r>
      <w:r>
        <w:t>ce with any of these approaches, please contact your School Learning Technologists.</w:t>
      </w:r>
    </w:p>
    <w:p w:rsidR="009D5BFD" w:rsidRDefault="009D5BFD"/>
    <w:p w:rsidR="009D5BFD" w:rsidRDefault="009D5BFD"/>
    <w:p w:rsidR="009D5BFD" w:rsidRDefault="009D5BFD"/>
    <w:p w:rsidR="009D5BFD" w:rsidRDefault="009D5BFD"/>
    <w:p w:rsidR="009D5BFD" w:rsidRDefault="009D5BFD">
      <w:bookmarkStart w:id="0" w:name="_GoBack"/>
      <w:bookmarkEnd w:id="0"/>
    </w:p>
    <w:p w:rsidR="00BA3726" w:rsidRDefault="00BA3726"/>
    <w:p w:rsidR="00BA3726" w:rsidRDefault="00C944E5">
      <w:pPr>
        <w:jc w:val="center"/>
      </w:pPr>
      <w:hyperlink r:id="rId38">
        <w:r>
          <w:rPr>
            <w:noProof/>
            <w:color w:val="1155CC"/>
            <w:sz w:val="24"/>
            <w:szCs w:val="24"/>
            <w:highlight w:val="white"/>
            <w:u w:val="single"/>
          </w:rPr>
          <w:drawing>
            <wp:inline distT="114300" distB="114300" distL="114300" distR="114300">
              <wp:extent cx="838200" cy="295275"/>
              <wp:effectExtent l="0" t="0" r="0" b="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9"/>
                      <a:srcRect/>
                      <a:stretch>
                        <a:fillRect/>
                      </a:stretch>
                    </pic:blipFill>
                    <pic:spPr>
                      <a:xfrm>
                        <a:off x="0" y="0"/>
                        <a:ext cx="838200" cy="295275"/>
                      </a:xfrm>
                      <a:prstGeom prst="rect">
                        <a:avLst/>
                      </a:prstGeom>
                      <a:ln/>
                    </pic:spPr>
                  </pic:pic>
                </a:graphicData>
              </a:graphic>
            </wp:inline>
          </w:drawing>
        </w:r>
      </w:hyperlink>
    </w:p>
    <w:p w:rsidR="00BA3726" w:rsidRDefault="00C944E5">
      <w:pPr>
        <w:jc w:val="center"/>
        <w:rPr>
          <w:sz w:val="16"/>
          <w:szCs w:val="16"/>
        </w:rPr>
      </w:pPr>
      <w:r>
        <w:rPr>
          <w:i/>
          <w:sz w:val="16"/>
          <w:szCs w:val="16"/>
          <w:highlight w:val="white"/>
        </w:rPr>
        <w:t>‘Getting Started with Online Submission, Digital Marking and Feedback</w:t>
      </w:r>
      <w:r>
        <w:rPr>
          <w:sz w:val="16"/>
          <w:szCs w:val="16"/>
          <w:highlight w:val="white"/>
        </w:rPr>
        <w:t xml:space="preserve">’ by Prof </w:t>
      </w:r>
      <w:proofErr w:type="spellStart"/>
      <w:r>
        <w:rPr>
          <w:sz w:val="16"/>
          <w:szCs w:val="16"/>
          <w:highlight w:val="white"/>
        </w:rPr>
        <w:t>LInda</w:t>
      </w:r>
      <w:proofErr w:type="spellEnd"/>
      <w:r>
        <w:rPr>
          <w:sz w:val="16"/>
          <w:szCs w:val="16"/>
          <w:highlight w:val="white"/>
        </w:rPr>
        <w:t xml:space="preserve"> Creanor, Glasgow Caledonian University,  is licensed under a Creative Commons Attribution-Non-Commercial-</w:t>
      </w:r>
      <w:proofErr w:type="spellStart"/>
      <w:r>
        <w:rPr>
          <w:sz w:val="16"/>
          <w:szCs w:val="16"/>
          <w:highlight w:val="white"/>
        </w:rPr>
        <w:t>ShareAlike</w:t>
      </w:r>
      <w:proofErr w:type="spellEnd"/>
      <w:r>
        <w:rPr>
          <w:sz w:val="16"/>
          <w:szCs w:val="16"/>
          <w:highlight w:val="white"/>
        </w:rPr>
        <w:t xml:space="preserve"> 4.0 International Licence</w:t>
      </w:r>
    </w:p>
    <w:sectPr w:rsidR="00BA3726">
      <w:footerReference w:type="default" r:id="rId4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4E5" w:rsidRDefault="00C944E5">
      <w:pPr>
        <w:spacing w:line="240" w:lineRule="auto"/>
      </w:pPr>
      <w:r>
        <w:separator/>
      </w:r>
    </w:p>
  </w:endnote>
  <w:endnote w:type="continuationSeparator" w:id="0">
    <w:p w:rsidR="00C944E5" w:rsidRDefault="00C94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26" w:rsidRDefault="00C944E5">
    <w:pPr>
      <w:jc w:val="right"/>
    </w:pPr>
    <w:r>
      <w:fldChar w:fldCharType="begin"/>
    </w:r>
    <w:r>
      <w:instrText>PAGE</w:instrText>
    </w:r>
    <w:r w:rsidR="009D5BFD">
      <w:fldChar w:fldCharType="separate"/>
    </w:r>
    <w:r w:rsidR="009D5BFD">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4E5" w:rsidRDefault="00C944E5">
      <w:pPr>
        <w:spacing w:line="240" w:lineRule="auto"/>
      </w:pPr>
      <w:r>
        <w:separator/>
      </w:r>
    </w:p>
  </w:footnote>
  <w:footnote w:type="continuationSeparator" w:id="0">
    <w:p w:rsidR="00C944E5" w:rsidRDefault="00C944E5">
      <w:pPr>
        <w:spacing w:line="240" w:lineRule="auto"/>
      </w:pPr>
      <w:r>
        <w:continuationSeparator/>
      </w:r>
    </w:p>
  </w:footnote>
  <w:footnote w:id="1">
    <w:p w:rsidR="00BA3726" w:rsidRDefault="00C944E5">
      <w:pPr>
        <w:spacing w:line="240" w:lineRule="auto"/>
        <w:rPr>
          <w:sz w:val="20"/>
          <w:szCs w:val="20"/>
          <w:vertAlign w:val="superscript"/>
        </w:rPr>
      </w:pPr>
      <w:r>
        <w:rPr>
          <w:vertAlign w:val="superscript"/>
        </w:rPr>
        <w:footnoteRef/>
      </w:r>
      <w:r>
        <w:rPr>
          <w:sz w:val="20"/>
          <w:szCs w:val="20"/>
          <w:vertAlign w:val="superscript"/>
        </w:rPr>
        <w:t xml:space="preserve"> </w:t>
      </w:r>
      <w:hyperlink r:id="rId1">
        <w:r>
          <w:rPr>
            <w:color w:val="1155CC"/>
            <w:sz w:val="20"/>
            <w:szCs w:val="20"/>
            <w:u w:val="single"/>
          </w:rPr>
          <w:t>http://www.jisc.ac.uk/guides/electronic-assessment-manage</w:t>
        </w:r>
        <w:r>
          <w:rPr>
            <w:color w:val="1155CC"/>
            <w:sz w:val="20"/>
            <w:szCs w:val="20"/>
            <w:u w:val="single"/>
          </w:rPr>
          <w:t>ment</w:t>
        </w:r>
      </w:hyperlink>
    </w:p>
  </w:footnote>
  <w:footnote w:id="2">
    <w:p w:rsidR="00BA3726" w:rsidRDefault="00C944E5">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http://www.gcu.ac.uk/gaq/regulationsandpolicies/</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808CD"/>
    <w:multiLevelType w:val="multilevel"/>
    <w:tmpl w:val="C7EEA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0396002"/>
    <w:multiLevelType w:val="multilevel"/>
    <w:tmpl w:val="1026C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7B20B13"/>
    <w:multiLevelType w:val="multilevel"/>
    <w:tmpl w:val="38627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3E95821"/>
    <w:multiLevelType w:val="multilevel"/>
    <w:tmpl w:val="4678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A3726"/>
    <w:rsid w:val="009D5BFD"/>
    <w:rsid w:val="00BA3726"/>
    <w:rsid w:val="00C94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D5B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B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D5B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guides.turnitin.com/01_Manuals_and_Guides/Instructor_Guides/Feedback_Studio/17_Grading_Tools/Rubrics_and_Grading_Forms" TargetMode="External"/><Relationship Id="rId26" Type="http://schemas.openxmlformats.org/officeDocument/2006/relationships/hyperlink" Target="https://guides.turnitin.com/01_Manuals_and_Guides/Instructor_Guides/Feedback_Studio/17_Grading_Tools/Commenting_Tools" TargetMode="External"/><Relationship Id="rId39"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hyperlink" Target="https://padlet.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cu.ac.uk/media/gcalwebv2/theuniversity/gaq/gaqfiles/GCU%20Similarity%20Checking%20Policy.pdf" TargetMode="External"/><Relationship Id="rId17" Type="http://schemas.openxmlformats.org/officeDocument/2006/relationships/hyperlink" Target="https://guides.turnitin.com/01_Manuals_and_Guides/Instructor_Guides/Feedback_Studio/17_Grading_Tools/Rubrics_and_Grading_Forms" TargetMode="External"/><Relationship Id="rId25" Type="http://schemas.openxmlformats.org/officeDocument/2006/relationships/image" Target="media/image10.png"/><Relationship Id="rId33" Type="http://schemas.openxmlformats.org/officeDocument/2006/relationships/hyperlink" Target="https://www.mentimeter.com/" TargetMode="External"/><Relationship Id="rId38" Type="http://schemas.openxmlformats.org/officeDocument/2006/relationships/hyperlink" Target="https://creativecommons.org/licenses/by-nc-sa/4.0/"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png"/><Relationship Id="rId29" Type="http://schemas.openxmlformats.org/officeDocument/2006/relationships/hyperlink" Target="https://guides.turnitin.com/01_Manuals_and_Guides/Instructor_Guides/Feedback_Studio/17_Grading_Tools/QuickMark_Manage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gcu.ac.uk/media/gcalwebv2/theuniversity/gaq/gaqfiles/assessmentregulations/Student%20Performance%20Feedback%20Policy%20Oct2014.pdf" TargetMode="External"/><Relationship Id="rId32" Type="http://schemas.openxmlformats.org/officeDocument/2006/relationships/hyperlink" Target="https://www.socrative.com/" TargetMode="External"/><Relationship Id="rId37" Type="http://schemas.openxmlformats.org/officeDocument/2006/relationships/hyperlink" Target="http://webpaproject.lboro.ac.uk/"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guides.turnitin.com/01_Manuals_and_Guides/Instructor_Guides/Feedback_Studio/17_Grading_Tools/QuickMark_Manager" TargetMode="External"/><Relationship Id="rId36" Type="http://schemas.openxmlformats.org/officeDocument/2006/relationships/image" Target="media/image11.png"/><Relationship Id="rId10" Type="http://schemas.openxmlformats.org/officeDocument/2006/relationships/hyperlink" Target="http://www.gcu.ac.uk/media/gcalwebv2/theuniversity/gaq/gaqfiles/assessmentregulations/GCU_Digital_Assessment_policy_2017.pdf" TargetMode="External"/><Relationship Id="rId19" Type="http://schemas.openxmlformats.org/officeDocument/2006/relationships/hyperlink" Target="https://guides.turnitin.com/01_Manuals_and_Guides/Instructor_Guides/Feedback_Studio/17_Grading_Tools/QuickMark_Manager" TargetMode="External"/><Relationship Id="rId31" Type="http://schemas.openxmlformats.org/officeDocument/2006/relationships/hyperlink" Target="https://www.polleverywher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o.gcal.ac.uk/plagiarism/index.html" TargetMode="External"/><Relationship Id="rId22" Type="http://schemas.openxmlformats.org/officeDocument/2006/relationships/hyperlink" Target="https://help.blackboard.com/Learn/Instructor" TargetMode="External"/><Relationship Id="rId27" Type="http://schemas.openxmlformats.org/officeDocument/2006/relationships/hyperlink" Target="https://guides.turnitin.com/01_Manuals_and_Guides/Instructor_Guides/Feedback_Studio/17_Grading_Tools/Rubrics_and_Grading_Forms" TargetMode="External"/><Relationship Id="rId30" Type="http://schemas.openxmlformats.org/officeDocument/2006/relationships/hyperlink" Target="https://guides.turnitin.com/01_Manuals_and_Guides/Instructor_Guides/Feedback_Studio/17_Grading_Tools/Commenting_Tools" TargetMode="External"/><Relationship Id="rId35" Type="http://schemas.openxmlformats.org/officeDocument/2006/relationships/hyperlink" Target="https://trello.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gcu.ac.uk/gaq/regulationsandpolicies/" TargetMode="External"/><Relationship Id="rId1" Type="http://schemas.openxmlformats.org/officeDocument/2006/relationships/hyperlink" Target="http://www.jisc.ac.uk/guides/electronic-assessmen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Creanor, Linda</dc:creator>
  <cp:lastModifiedBy>lcr2</cp:lastModifiedBy>
  <cp:revision>2</cp:revision>
  <dcterms:created xsi:type="dcterms:W3CDTF">2017-10-19T15:10:00Z</dcterms:created>
  <dcterms:modified xsi:type="dcterms:W3CDTF">2017-10-19T15:10:00Z</dcterms:modified>
</cp:coreProperties>
</file>