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A27" w:rsidRPr="00AD50A6" w:rsidRDefault="00AC6471" w:rsidP="00B018C6">
      <w:pPr>
        <w:pStyle w:val="tempplainheading"/>
      </w:pPr>
      <w:r>
        <w:rPr>
          <w:noProof/>
          <w:lang w:eastAsia="en-GB"/>
        </w:rPr>
        <mc:AlternateContent>
          <mc:Choice Requires="wps">
            <w:drawing>
              <wp:anchor distT="0" distB="0" distL="114300" distR="114300" simplePos="0" relativeHeight="251659264" behindDoc="0" locked="0" layoutInCell="1" allowOverlap="1" wp14:anchorId="1578AB1A" wp14:editId="223D9C68">
                <wp:simplePos x="0" y="0"/>
                <wp:positionH relativeFrom="column">
                  <wp:posOffset>228014</wp:posOffset>
                </wp:positionH>
                <wp:positionV relativeFrom="paragraph">
                  <wp:posOffset>21346</wp:posOffset>
                </wp:positionV>
                <wp:extent cx="5229225" cy="422031"/>
                <wp:effectExtent l="0" t="0" r="28575" b="16510"/>
                <wp:wrapNone/>
                <wp:docPr id="1" name="Rectangle 1"/>
                <wp:cNvGraphicFramePr/>
                <a:graphic xmlns:a="http://schemas.openxmlformats.org/drawingml/2006/main">
                  <a:graphicData uri="http://schemas.microsoft.com/office/word/2010/wordprocessingShape">
                    <wps:wsp>
                      <wps:cNvSpPr/>
                      <wps:spPr>
                        <a:xfrm>
                          <a:off x="0" y="0"/>
                          <a:ext cx="5229225" cy="4220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7.95pt;margin-top:1.7pt;width:411.75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" filled="f" strokecolor="#243f60 [1604]" strokeweight="2pt"/>
            </w:pict>
          </mc:Fallback>
        </mc:AlternateContent>
      </w:r>
      <w:r w:rsidR="00FE4456">
        <w:t>Sample Paragraphs</w:t>
      </w:r>
    </w:p>
    <w:p w:rsidR="00677A27" w:rsidRDefault="00677A27" w:rsidP="00677A27">
      <w:pPr>
        <w:rPr>
          <w:rFonts w:ascii="Verdana" w:hAnsi="Verdana"/>
          <w:b/>
          <w:sz w:val="24"/>
          <w:szCs w:val="24"/>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835"/>
      </w:tblGrid>
      <w:tr w:rsidR="002852F3" w:rsidTr="00C15EC7">
        <w:tc>
          <w:tcPr>
            <w:tcW w:w="7196" w:type="dxa"/>
            <w:tcBorders>
              <w:right w:val="single" w:sz="4" w:space="0" w:color="auto"/>
            </w:tcBorders>
          </w:tcPr>
          <w:p w:rsidR="002852F3" w:rsidRPr="002852F3" w:rsidRDefault="002852F3" w:rsidP="002852F3">
            <w:pPr>
              <w:pStyle w:val="tempplainheading2"/>
            </w:pPr>
            <w:r w:rsidRPr="002852F3">
              <w:t xml:space="preserve">Sample Paragraph 1 </w:t>
            </w:r>
          </w:p>
          <w:p w:rsidR="002852F3" w:rsidRDefault="002852F3" w:rsidP="00C15EC7">
            <w:pPr>
              <w:pStyle w:val="Default"/>
              <w:rPr>
                <w:sz w:val="23"/>
                <w:szCs w:val="23"/>
              </w:rPr>
            </w:pPr>
            <w:r w:rsidRPr="002852F3">
              <w:rPr>
                <w:rFonts w:ascii="Verdana" w:hAnsi="Verdana"/>
                <w:sz w:val="20"/>
                <w:szCs w:val="20"/>
              </w:rPr>
              <w:t>The portrayal of female officers on television has been shown to influence public perceptions of male and female police officers (Goodall, 2012). Female officers are often presented in a caring role rather than a crime fighting role and frequently as a character who is subordinate to a male officer (Callais and Szozda, 2006). As Davidson (2012) notes, police TV  shows overemphasise crime fighting and the use of physical force in every day policing in an attempt to produce interesting programmes: this association of strength with successful police work may reinforce public concerns about female officers’ physical capacity for police work.  The caring role of police officers is hinted at in a  number of ways. In a study of the portrayal of female officers in US police reality television programmes, Rabe-Hemp (2011) found that the marital and parental status of female officers is often emphasised which may highlight the perceived deviation from gender norms and the difference between male and female officers. She also points out that female officers tend to be  shown discussing gendered issues such as motherhood, as opposed to male officers who were primarily discussing work-related issues. This may present male officers as more focused and dedicated to their police careers than women, whose priorities appear to be divided. Cox (2012) obtained similar findings in another US study about reality programmes. Such depictions on TV encourage stereotypical perceptions of the work of male and female police officers as not having equal value or attracting equal status</w:t>
            </w:r>
            <w:r>
              <w:rPr>
                <w:sz w:val="23"/>
                <w:szCs w:val="23"/>
              </w:rPr>
              <w:t>.</w:t>
            </w:r>
          </w:p>
          <w:p w:rsidR="002852F3" w:rsidRDefault="002852F3" w:rsidP="00C15EC7">
            <w:pPr>
              <w:pStyle w:val="Default"/>
              <w:rPr>
                <w:rFonts w:eastAsia="Times New Roman" w:cs="Times New Roman"/>
                <w:u w:color="000000"/>
                <w:bdr w:val="nil"/>
                <w:lang w:eastAsia="en-GB"/>
              </w:rPr>
            </w:pPr>
          </w:p>
        </w:tc>
        <w:tc>
          <w:tcPr>
            <w:tcW w:w="2835" w:type="dxa"/>
            <w:tcBorders>
              <w:left w:val="single" w:sz="4" w:space="0" w:color="auto"/>
            </w:tcBorders>
          </w:tcPr>
          <w:p w:rsidR="002852F3" w:rsidRDefault="002852F3" w:rsidP="00C15EC7">
            <w:pPr>
              <w:spacing w:line="360" w:lineRule="auto"/>
              <w:rPr>
                <w:rFonts w:eastAsia="Times New Roman" w:cs="Times New Roman"/>
                <w:color w:val="1F497D" w:themeColor="text2"/>
                <w:u w:color="000000"/>
                <w:bdr w:val="nil"/>
                <w:lang w:val="en-US" w:eastAsia="en-GB"/>
              </w:rPr>
            </w:pPr>
          </w:p>
          <w:p w:rsidR="002852F3" w:rsidRPr="002852F3" w:rsidRDefault="002852F3" w:rsidP="00C15EC7">
            <w:pPr>
              <w:spacing w:line="276" w:lineRule="auto"/>
              <w:rPr>
                <w:rFonts w:ascii="Verdana" w:eastAsia="Times New Roman" w:hAnsi="Verdana" w:cs="Times New Roman"/>
                <w:color w:val="1F497D" w:themeColor="text2"/>
                <w:sz w:val="20"/>
                <w:szCs w:val="20"/>
                <w:u w:color="000000"/>
                <w:bdr w:val="nil"/>
                <w:lang w:val="en-US" w:eastAsia="en-GB"/>
              </w:rPr>
            </w:pPr>
            <w:r w:rsidRPr="002852F3">
              <w:rPr>
                <w:rFonts w:ascii="Verdana" w:eastAsia="Times New Roman" w:hAnsi="Verdana" w:cs="Times New Roman"/>
                <w:color w:val="1F497D" w:themeColor="text2"/>
                <w:sz w:val="20"/>
                <w:szCs w:val="20"/>
                <w:u w:color="000000"/>
                <w:bdr w:val="nil"/>
                <w:lang w:val="en-US" w:eastAsia="en-GB"/>
              </w:rPr>
              <w:t>The first sentence introduces the focus of discussion in this paragraph.</w:t>
            </w:r>
          </w:p>
          <w:p w:rsidR="002852F3" w:rsidRPr="002852F3" w:rsidRDefault="002852F3" w:rsidP="00C15EC7">
            <w:pPr>
              <w:spacing w:line="276" w:lineRule="auto"/>
              <w:rPr>
                <w:rFonts w:ascii="Verdana" w:eastAsia="Times New Roman" w:hAnsi="Verdana" w:cs="Times New Roman"/>
                <w:color w:val="1F497D" w:themeColor="text2"/>
                <w:sz w:val="20"/>
                <w:szCs w:val="20"/>
                <w:u w:color="000000"/>
                <w:bdr w:val="nil"/>
                <w:lang w:val="en-US" w:eastAsia="en-GB"/>
              </w:rPr>
            </w:pPr>
          </w:p>
          <w:p w:rsidR="002852F3" w:rsidRPr="002852F3" w:rsidRDefault="002852F3" w:rsidP="00C15EC7">
            <w:pPr>
              <w:spacing w:line="276" w:lineRule="auto"/>
              <w:rPr>
                <w:rFonts w:ascii="Verdana" w:eastAsia="Times New Roman" w:hAnsi="Verdana" w:cs="Times New Roman"/>
                <w:color w:val="1F497D" w:themeColor="text2"/>
                <w:sz w:val="20"/>
                <w:szCs w:val="20"/>
                <w:u w:color="000000"/>
                <w:bdr w:val="nil"/>
                <w:lang w:val="en-US" w:eastAsia="en-GB"/>
              </w:rPr>
            </w:pPr>
            <w:r w:rsidRPr="002852F3">
              <w:rPr>
                <w:rFonts w:ascii="Verdana" w:eastAsia="Times New Roman" w:hAnsi="Verdana" w:cs="Times New Roman"/>
                <w:color w:val="1F497D" w:themeColor="text2"/>
                <w:sz w:val="20"/>
                <w:szCs w:val="20"/>
                <w:u w:color="000000"/>
                <w:bdr w:val="nil"/>
                <w:lang w:val="en-US" w:eastAsia="en-GB"/>
              </w:rPr>
              <w:t>If the writer just said “</w:t>
            </w:r>
            <w:r w:rsidRPr="002852F3">
              <w:rPr>
                <w:rFonts w:ascii="Verdana" w:eastAsia="Times New Roman" w:hAnsi="Verdana" w:cs="Times New Roman"/>
                <w:i/>
                <w:color w:val="1F497D" w:themeColor="text2"/>
                <w:sz w:val="20"/>
                <w:szCs w:val="20"/>
                <w:u w:color="000000"/>
                <w:bdr w:val="nil"/>
                <w:lang w:val="en-US" w:eastAsia="en-GB"/>
              </w:rPr>
              <w:t>Davidson (2012) notes that…</w:t>
            </w:r>
            <w:r w:rsidRPr="002852F3">
              <w:rPr>
                <w:rFonts w:ascii="Verdana" w:eastAsia="Times New Roman" w:hAnsi="Verdana" w:cs="Times New Roman"/>
                <w:color w:val="1F497D" w:themeColor="text2"/>
                <w:sz w:val="20"/>
                <w:szCs w:val="20"/>
                <w:u w:color="000000"/>
                <w:bdr w:val="nil"/>
                <w:lang w:val="en-US" w:eastAsia="en-GB"/>
              </w:rPr>
              <w:t>,” she would simply be reporting the source. “</w:t>
            </w:r>
            <w:r w:rsidRPr="002852F3">
              <w:rPr>
                <w:rFonts w:ascii="Verdana" w:eastAsia="Times New Roman" w:hAnsi="Verdana" w:cs="Times New Roman"/>
                <w:i/>
                <w:color w:val="1F497D" w:themeColor="text2"/>
                <w:sz w:val="20"/>
                <w:szCs w:val="20"/>
                <w:u w:color="000000"/>
                <w:bdr w:val="nil"/>
                <w:lang w:val="en-US" w:eastAsia="en-GB"/>
              </w:rPr>
              <w:t>As Davidson (2012) notes,…”</w:t>
            </w:r>
            <w:r w:rsidRPr="002852F3">
              <w:rPr>
                <w:rFonts w:ascii="Verdana" w:eastAsia="Times New Roman" w:hAnsi="Verdana" w:cs="Times New Roman"/>
                <w:color w:val="1F497D" w:themeColor="text2"/>
                <w:sz w:val="20"/>
                <w:szCs w:val="20"/>
                <w:u w:color="000000"/>
                <w:bdr w:val="nil"/>
                <w:lang w:val="en-US" w:eastAsia="en-GB"/>
              </w:rPr>
              <w:t xml:space="preserve"> is a way of showing that the writer agrees with Davidson. </w:t>
            </w:r>
          </w:p>
          <w:p w:rsidR="002852F3" w:rsidRPr="002852F3" w:rsidRDefault="002852F3" w:rsidP="00C15EC7">
            <w:pPr>
              <w:spacing w:line="276" w:lineRule="auto"/>
              <w:rPr>
                <w:rFonts w:ascii="Verdana" w:eastAsia="Times New Roman" w:hAnsi="Verdana" w:cs="Times New Roman"/>
                <w:color w:val="1F497D" w:themeColor="text2"/>
                <w:sz w:val="20"/>
                <w:szCs w:val="20"/>
                <w:u w:color="000000"/>
                <w:bdr w:val="nil"/>
                <w:lang w:val="en-US" w:eastAsia="en-GB"/>
              </w:rPr>
            </w:pPr>
          </w:p>
          <w:p w:rsidR="002852F3" w:rsidRPr="002852F3" w:rsidRDefault="002852F3" w:rsidP="00C15EC7">
            <w:pPr>
              <w:spacing w:line="276" w:lineRule="auto"/>
              <w:rPr>
                <w:rFonts w:ascii="Verdana" w:eastAsia="Times New Roman" w:hAnsi="Verdana" w:cs="Times New Roman"/>
                <w:color w:val="1F497D" w:themeColor="text2"/>
                <w:sz w:val="20"/>
                <w:szCs w:val="20"/>
                <w:u w:color="000000"/>
                <w:bdr w:val="nil"/>
                <w:lang w:val="en-US" w:eastAsia="en-GB"/>
              </w:rPr>
            </w:pPr>
            <w:r w:rsidRPr="002852F3">
              <w:rPr>
                <w:rFonts w:ascii="Verdana" w:eastAsia="Times New Roman" w:hAnsi="Verdana" w:cs="Times New Roman"/>
                <w:color w:val="1F497D" w:themeColor="text2"/>
                <w:sz w:val="20"/>
                <w:szCs w:val="20"/>
                <w:u w:color="000000"/>
                <w:bdr w:val="nil"/>
                <w:lang w:val="en-US" w:eastAsia="en-GB"/>
              </w:rPr>
              <w:t>The rest of the paragraph provides research evidence to develop this argument.</w:t>
            </w:r>
          </w:p>
          <w:p w:rsidR="002852F3" w:rsidRPr="002852F3" w:rsidRDefault="002852F3" w:rsidP="00C15EC7">
            <w:pPr>
              <w:spacing w:line="276" w:lineRule="auto"/>
              <w:rPr>
                <w:rFonts w:ascii="Verdana" w:eastAsia="Times New Roman" w:hAnsi="Verdana" w:cs="Times New Roman"/>
                <w:color w:val="1F497D" w:themeColor="text2"/>
                <w:sz w:val="20"/>
                <w:szCs w:val="20"/>
                <w:u w:color="000000"/>
                <w:bdr w:val="nil"/>
                <w:lang w:val="en-US" w:eastAsia="en-GB"/>
              </w:rPr>
            </w:pPr>
          </w:p>
          <w:p w:rsidR="002852F3" w:rsidRPr="00FB4E5A" w:rsidRDefault="002852F3" w:rsidP="00C15EC7">
            <w:pPr>
              <w:spacing w:line="276" w:lineRule="auto"/>
              <w:rPr>
                <w:rFonts w:eastAsia="Times New Roman" w:cs="Times New Roman"/>
                <w:color w:val="1F497D" w:themeColor="text2"/>
                <w:u w:color="000000"/>
                <w:bdr w:val="nil"/>
                <w:lang w:val="en-US" w:eastAsia="en-GB"/>
              </w:rPr>
            </w:pPr>
            <w:r w:rsidRPr="002852F3">
              <w:rPr>
                <w:rFonts w:ascii="Verdana" w:eastAsia="Times New Roman" w:hAnsi="Verdana" w:cs="Times New Roman"/>
                <w:color w:val="1F497D" w:themeColor="text2"/>
                <w:sz w:val="20"/>
                <w:szCs w:val="20"/>
                <w:u w:color="000000"/>
                <w:bdr w:val="nil"/>
                <w:lang w:val="en-US" w:eastAsia="en-GB"/>
              </w:rPr>
              <w:t>The final concluding sentence refers back to the issue identified in the first paragraph</w:t>
            </w:r>
          </w:p>
        </w:tc>
      </w:tr>
    </w:tbl>
    <w:p w:rsidR="00FE4456" w:rsidRDefault="00FE4456" w:rsidP="002852F3">
      <w:pPr>
        <w:pStyle w:val="tempplainheading2"/>
      </w:pPr>
    </w:p>
    <w:p w:rsidR="00FE4456" w:rsidRDefault="00FE4456">
      <w:pPr>
        <w:rPr>
          <w:rFonts w:ascii="Verdana" w:hAnsi="Verdana" w:cs="Arial"/>
          <w:b/>
          <w:color w:val="0439A4"/>
          <w:sz w:val="24"/>
          <w:szCs w:val="24"/>
        </w:rPr>
      </w:pPr>
      <w:r>
        <w:br w:type="page"/>
      </w:r>
    </w:p>
    <w:p w:rsidR="002852F3" w:rsidRDefault="002852F3" w:rsidP="002852F3">
      <w:pPr>
        <w:pStyle w:val="tempplainheading2"/>
      </w:pPr>
      <w:r w:rsidRPr="000F395B">
        <w:t xml:space="preserve">Sample paragraph 2 </w:t>
      </w:r>
    </w:p>
    <w:tbl>
      <w:tblPr>
        <w:tblStyle w:val="TableGrid"/>
        <w:tblW w:w="10456" w:type="dxa"/>
        <w:tblLook w:val="04A0" w:firstRow="1" w:lastRow="0" w:firstColumn="1" w:lastColumn="0" w:noHBand="0" w:noVBand="1"/>
      </w:tblPr>
      <w:tblGrid>
        <w:gridCol w:w="6062"/>
        <w:gridCol w:w="4394"/>
      </w:tblGrid>
      <w:tr w:rsidR="002852F3" w:rsidTr="00C15EC7">
        <w:tc>
          <w:tcPr>
            <w:tcW w:w="6062" w:type="dxa"/>
            <w:tcBorders>
              <w:top w:val="nil"/>
              <w:left w:val="nil"/>
              <w:bottom w:val="nil"/>
            </w:tcBorders>
          </w:tcPr>
          <w:p w:rsidR="002852F3" w:rsidRPr="002852F3" w:rsidRDefault="002852F3" w:rsidP="00C15EC7">
            <w:pPr>
              <w:widowControl w:val="0"/>
              <w:autoSpaceDE w:val="0"/>
              <w:autoSpaceDN w:val="0"/>
              <w:adjustRightInd w:val="0"/>
              <w:spacing w:line="360" w:lineRule="auto"/>
              <w:rPr>
                <w:rFonts w:ascii="Verdana" w:hAnsi="Verdana"/>
                <w:sz w:val="20"/>
                <w:szCs w:val="20"/>
              </w:rPr>
            </w:pPr>
            <w:r w:rsidRPr="002852F3">
              <w:rPr>
                <w:rFonts w:ascii="Verdana" w:hAnsi="Verdana"/>
                <w:b/>
                <w:sz w:val="20"/>
                <w:szCs w:val="20"/>
                <w:vertAlign w:val="superscript"/>
              </w:rPr>
              <w:t>1</w:t>
            </w:r>
            <w:r w:rsidRPr="002852F3">
              <w:rPr>
                <w:rFonts w:ascii="Verdana" w:hAnsi="Verdana"/>
                <w:sz w:val="20"/>
                <w:szCs w:val="20"/>
                <w:vertAlign w:val="superscript"/>
              </w:rPr>
              <w:t xml:space="preserve"> </w:t>
            </w:r>
            <w:r w:rsidRPr="002852F3">
              <w:rPr>
                <w:rFonts w:ascii="Verdana" w:hAnsi="Verdana"/>
                <w:sz w:val="20"/>
                <w:szCs w:val="20"/>
              </w:rPr>
              <w:t xml:space="preserve">Strategic planning is very important for effective tourism and hospitality management </w:t>
            </w:r>
            <w:r w:rsidRPr="002852F3">
              <w:rPr>
                <w:rFonts w:ascii="Verdana" w:hAnsi="Verdana"/>
                <w:b/>
                <w:sz w:val="20"/>
                <w:szCs w:val="20"/>
                <w:vertAlign w:val="superscript"/>
              </w:rPr>
              <w:t>3</w:t>
            </w:r>
            <w:r>
              <w:rPr>
                <w:rFonts w:ascii="Verdana" w:hAnsi="Verdana"/>
                <w:sz w:val="20"/>
                <w:szCs w:val="20"/>
              </w:rPr>
              <w:t xml:space="preserve"> </w:t>
            </w:r>
            <w:r w:rsidRPr="002852F3">
              <w:rPr>
                <w:rFonts w:ascii="Verdana" w:hAnsi="Verdana"/>
                <w:sz w:val="20"/>
                <w:szCs w:val="20"/>
              </w:rPr>
              <w:t xml:space="preserve">(Hall 2000; Inskeep 1991; Mason 2003). </w:t>
            </w:r>
            <w:r w:rsidRPr="002852F3">
              <w:rPr>
                <w:rFonts w:ascii="Verdana" w:hAnsi="Verdana"/>
                <w:b/>
                <w:sz w:val="20"/>
                <w:szCs w:val="20"/>
                <w:vertAlign w:val="superscript"/>
              </w:rPr>
              <w:t>2</w:t>
            </w:r>
            <w:r>
              <w:rPr>
                <w:rFonts w:ascii="Verdana" w:hAnsi="Verdana"/>
                <w:b/>
                <w:sz w:val="20"/>
                <w:szCs w:val="20"/>
                <w:vertAlign w:val="superscript"/>
              </w:rPr>
              <w:t xml:space="preserve"> </w:t>
            </w:r>
            <w:r w:rsidRPr="002852F3">
              <w:rPr>
                <w:rFonts w:ascii="Verdana" w:hAnsi="Verdana"/>
                <w:b/>
                <w:sz w:val="20"/>
                <w:szCs w:val="20"/>
              </w:rPr>
              <w:t>Hall (2008) argues that</w:t>
            </w:r>
            <w:r w:rsidRPr="002852F3">
              <w:rPr>
                <w:rFonts w:ascii="Verdana" w:hAnsi="Verdana"/>
                <w:sz w:val="20"/>
                <w:szCs w:val="20"/>
              </w:rPr>
              <w:t xml:space="preserve"> planning enables destinations to differentiate themselves successfully from others to enhance their competitiveness and extend their tourism product life cycle. From the broader perspective of sustainability, planning is essential to minimise the negative impacts of tourism on destinations, communities and environments </w:t>
            </w:r>
            <w:r w:rsidRPr="002852F3">
              <w:rPr>
                <w:rFonts w:ascii="Verdana" w:hAnsi="Verdana"/>
                <w:b/>
                <w:sz w:val="20"/>
                <w:szCs w:val="20"/>
              </w:rPr>
              <w:t>(Hall 2008; Manson 2003; Ruhanen 2010).</w:t>
            </w:r>
            <w:r w:rsidRPr="002852F3">
              <w:rPr>
                <w:rFonts w:ascii="Verdana" w:hAnsi="Verdana"/>
                <w:sz w:val="20"/>
                <w:szCs w:val="20"/>
              </w:rPr>
              <w:t xml:space="preserve"> </w:t>
            </w:r>
            <w:r w:rsidRPr="002852F3">
              <w:rPr>
                <w:rFonts w:ascii="Verdana" w:hAnsi="Verdana"/>
                <w:b/>
                <w:sz w:val="20"/>
                <w:szCs w:val="20"/>
                <w:vertAlign w:val="superscript"/>
              </w:rPr>
              <w:t>4</w:t>
            </w:r>
            <w:r>
              <w:rPr>
                <w:rFonts w:ascii="Verdana" w:hAnsi="Verdana"/>
                <w:sz w:val="20"/>
                <w:szCs w:val="20"/>
              </w:rPr>
              <w:t xml:space="preserve"> </w:t>
            </w:r>
            <w:r w:rsidRPr="002852F3">
              <w:rPr>
                <w:rFonts w:ascii="Verdana" w:hAnsi="Verdana"/>
                <w:sz w:val="20"/>
                <w:szCs w:val="20"/>
              </w:rPr>
              <w:t xml:space="preserve">It is therefore important that appropriate strategic planning processes are in place at all required levels in tourism management to achieve these planning objectives. </w:t>
            </w:r>
            <w:r w:rsidRPr="002852F3">
              <w:rPr>
                <w:rFonts w:ascii="Verdana" w:hAnsi="Verdana"/>
                <w:b/>
                <w:sz w:val="20"/>
                <w:szCs w:val="20"/>
                <w:vertAlign w:val="superscript"/>
              </w:rPr>
              <w:t>5</w:t>
            </w:r>
            <w:r>
              <w:rPr>
                <w:rFonts w:ascii="Verdana" w:hAnsi="Verdana"/>
                <w:b/>
                <w:sz w:val="20"/>
                <w:szCs w:val="20"/>
              </w:rPr>
              <w:t xml:space="preserve"> </w:t>
            </w:r>
            <w:r w:rsidRPr="002852F3">
              <w:rPr>
                <w:rFonts w:ascii="Verdana" w:hAnsi="Verdana"/>
                <w:b/>
                <w:sz w:val="20"/>
                <w:szCs w:val="20"/>
              </w:rPr>
              <w:t>Hall (2000, p.7) stresses that</w:t>
            </w:r>
            <w:r w:rsidRPr="002852F3">
              <w:rPr>
                <w:rFonts w:ascii="Verdana" w:hAnsi="Verdana"/>
                <w:sz w:val="20"/>
                <w:szCs w:val="20"/>
              </w:rPr>
              <w:t xml:space="preserve"> planning is both a decision- and policy-making process that involves ‘bargaining, negotiating, compromise, coercion, values, choice and politics’. These processes have to be organised in sequence (Williams 1998). They must also be directed towards the future through setting goals and objectives </w:t>
            </w:r>
            <w:r w:rsidRPr="002852F3">
              <w:rPr>
                <w:rFonts w:ascii="Verdana" w:hAnsi="Verdana"/>
                <w:b/>
                <w:sz w:val="20"/>
                <w:szCs w:val="20"/>
              </w:rPr>
              <w:t>(Gunn 2002; Hall 2000; Inskeep 1991)</w:t>
            </w:r>
            <w:r w:rsidRPr="002852F3">
              <w:rPr>
                <w:rFonts w:ascii="Verdana" w:hAnsi="Verdana"/>
                <w:sz w:val="20"/>
                <w:szCs w:val="20"/>
              </w:rPr>
              <w:t xml:space="preserve">. </w:t>
            </w:r>
            <w:r w:rsidRPr="002852F3">
              <w:rPr>
                <w:rFonts w:ascii="Verdana" w:hAnsi="Verdana"/>
                <w:b/>
                <w:sz w:val="20"/>
                <w:szCs w:val="20"/>
              </w:rPr>
              <w:t>Gunn (2002) differentiates</w:t>
            </w:r>
            <w:r w:rsidRPr="002852F3">
              <w:rPr>
                <w:rFonts w:ascii="Verdana" w:hAnsi="Verdana"/>
                <w:sz w:val="20"/>
                <w:szCs w:val="20"/>
              </w:rPr>
              <w:t xml:space="preserve"> four goals that should be achieved through effective tourism planning: enhanced visitor satisfaction, improved economy and business success, sustainable resource use and community and area integration.                                                                 </w:t>
            </w:r>
          </w:p>
          <w:p w:rsidR="002852F3" w:rsidRPr="002852F3" w:rsidRDefault="002852F3" w:rsidP="00C15EC7">
            <w:pPr>
              <w:widowControl w:val="0"/>
              <w:autoSpaceDE w:val="0"/>
              <w:autoSpaceDN w:val="0"/>
              <w:adjustRightInd w:val="0"/>
              <w:spacing w:line="360" w:lineRule="auto"/>
              <w:rPr>
                <w:rFonts w:ascii="Verdana" w:hAnsi="Verdana"/>
                <w:sz w:val="20"/>
                <w:szCs w:val="20"/>
              </w:rPr>
            </w:pPr>
          </w:p>
        </w:tc>
        <w:tc>
          <w:tcPr>
            <w:tcW w:w="4394" w:type="dxa"/>
            <w:tcBorders>
              <w:top w:val="nil"/>
              <w:bottom w:val="nil"/>
              <w:right w:val="nil"/>
            </w:tcBorders>
          </w:tcPr>
          <w:p w:rsidR="002852F3" w:rsidRPr="002852F3" w:rsidRDefault="002852F3" w:rsidP="00C15EC7">
            <w:pPr>
              <w:widowControl w:val="0"/>
              <w:autoSpaceDE w:val="0"/>
              <w:autoSpaceDN w:val="0"/>
              <w:adjustRightInd w:val="0"/>
              <w:rPr>
                <w:rFonts w:ascii="Verdana" w:hAnsi="Verdana"/>
                <w:sz w:val="20"/>
                <w:szCs w:val="20"/>
              </w:rPr>
            </w:pPr>
            <w:r w:rsidRPr="002852F3">
              <w:rPr>
                <w:rFonts w:ascii="Verdana" w:hAnsi="Verdana"/>
                <w:b/>
                <w:sz w:val="20"/>
                <w:szCs w:val="20"/>
                <w:vertAlign w:val="superscript"/>
              </w:rPr>
              <w:t>1</w:t>
            </w:r>
            <w:r>
              <w:rPr>
                <w:rFonts w:ascii="Verdana" w:hAnsi="Verdana"/>
                <w:sz w:val="20"/>
                <w:szCs w:val="20"/>
              </w:rPr>
              <w:t xml:space="preserve"> </w:t>
            </w:r>
            <w:r w:rsidRPr="002852F3">
              <w:rPr>
                <w:rFonts w:ascii="Verdana" w:hAnsi="Verdana"/>
                <w:sz w:val="20"/>
                <w:szCs w:val="20"/>
              </w:rPr>
              <w:t xml:space="preserve">The first sentence signals to the reader the focus of the paragraph – the importance of strategic planning (SP). </w:t>
            </w:r>
          </w:p>
          <w:p w:rsidR="002852F3" w:rsidRPr="002852F3" w:rsidRDefault="002852F3" w:rsidP="00C15EC7">
            <w:pPr>
              <w:widowControl w:val="0"/>
              <w:autoSpaceDE w:val="0"/>
              <w:autoSpaceDN w:val="0"/>
              <w:adjustRightInd w:val="0"/>
              <w:rPr>
                <w:rFonts w:ascii="Verdana" w:hAnsi="Verdana"/>
                <w:sz w:val="20"/>
                <w:szCs w:val="20"/>
              </w:rPr>
            </w:pPr>
          </w:p>
          <w:p w:rsidR="002852F3" w:rsidRPr="002852F3" w:rsidRDefault="002852F3" w:rsidP="00C15EC7">
            <w:pPr>
              <w:widowControl w:val="0"/>
              <w:autoSpaceDE w:val="0"/>
              <w:autoSpaceDN w:val="0"/>
              <w:adjustRightInd w:val="0"/>
              <w:rPr>
                <w:rFonts w:ascii="Verdana" w:hAnsi="Verdana"/>
                <w:sz w:val="20"/>
                <w:szCs w:val="20"/>
              </w:rPr>
            </w:pPr>
            <w:r w:rsidRPr="002852F3">
              <w:rPr>
                <w:rFonts w:ascii="Verdana" w:hAnsi="Verdana"/>
                <w:b/>
                <w:sz w:val="20"/>
                <w:szCs w:val="20"/>
                <w:vertAlign w:val="superscript"/>
              </w:rPr>
              <w:t>3</w:t>
            </w:r>
            <w:r>
              <w:rPr>
                <w:rFonts w:ascii="Verdana" w:hAnsi="Verdana"/>
                <w:sz w:val="20"/>
                <w:szCs w:val="20"/>
              </w:rPr>
              <w:t xml:space="preserve"> </w:t>
            </w:r>
            <w:r w:rsidRPr="002852F3">
              <w:rPr>
                <w:rFonts w:ascii="Verdana" w:hAnsi="Verdana"/>
                <w:sz w:val="20"/>
                <w:szCs w:val="20"/>
              </w:rPr>
              <w:t xml:space="preserve">The use of multiple sources in brackets at the end of the sentence show that </w:t>
            </w:r>
          </w:p>
          <w:p w:rsidR="002852F3" w:rsidRPr="002852F3" w:rsidRDefault="002852F3" w:rsidP="002852F3">
            <w:pPr>
              <w:pStyle w:val="ListParagraph"/>
              <w:widowControl w:val="0"/>
              <w:numPr>
                <w:ilvl w:val="0"/>
                <w:numId w:val="26"/>
              </w:numPr>
              <w:autoSpaceDE w:val="0"/>
              <w:autoSpaceDN w:val="0"/>
              <w:adjustRightInd w:val="0"/>
              <w:rPr>
                <w:rFonts w:ascii="Verdana" w:hAnsi="Verdana"/>
                <w:sz w:val="20"/>
                <w:szCs w:val="20"/>
              </w:rPr>
            </w:pPr>
            <w:r w:rsidRPr="002852F3">
              <w:rPr>
                <w:rFonts w:ascii="Verdana" w:hAnsi="Verdana"/>
                <w:sz w:val="20"/>
                <w:szCs w:val="20"/>
              </w:rPr>
              <w:t>there is broad agreement across the literature about the importance of strategic planning</w:t>
            </w:r>
          </w:p>
          <w:p w:rsidR="002852F3" w:rsidRPr="002852F3" w:rsidRDefault="002852F3" w:rsidP="002852F3">
            <w:pPr>
              <w:pStyle w:val="ListParagraph"/>
              <w:widowControl w:val="0"/>
              <w:numPr>
                <w:ilvl w:val="0"/>
                <w:numId w:val="26"/>
              </w:numPr>
              <w:autoSpaceDE w:val="0"/>
              <w:autoSpaceDN w:val="0"/>
              <w:adjustRightInd w:val="0"/>
              <w:rPr>
                <w:rFonts w:ascii="Verdana" w:hAnsi="Verdana"/>
                <w:sz w:val="20"/>
                <w:szCs w:val="20"/>
              </w:rPr>
            </w:pPr>
            <w:r w:rsidRPr="002852F3">
              <w:rPr>
                <w:rFonts w:ascii="Verdana" w:hAnsi="Verdana"/>
                <w:sz w:val="20"/>
                <w:szCs w:val="20"/>
              </w:rPr>
              <w:t>the writer has read broadly</w:t>
            </w:r>
          </w:p>
          <w:p w:rsidR="002852F3" w:rsidRPr="002852F3" w:rsidRDefault="002852F3" w:rsidP="00C15EC7">
            <w:pPr>
              <w:widowControl w:val="0"/>
              <w:autoSpaceDE w:val="0"/>
              <w:autoSpaceDN w:val="0"/>
              <w:adjustRightInd w:val="0"/>
              <w:rPr>
                <w:rFonts w:ascii="Verdana" w:hAnsi="Verdana"/>
                <w:sz w:val="20"/>
                <w:szCs w:val="20"/>
              </w:rPr>
            </w:pPr>
          </w:p>
          <w:p w:rsidR="002852F3" w:rsidRPr="002852F3" w:rsidRDefault="002852F3" w:rsidP="00C15EC7">
            <w:pPr>
              <w:widowControl w:val="0"/>
              <w:autoSpaceDE w:val="0"/>
              <w:autoSpaceDN w:val="0"/>
              <w:adjustRightInd w:val="0"/>
              <w:rPr>
                <w:rFonts w:ascii="Verdana" w:hAnsi="Verdana"/>
                <w:sz w:val="20"/>
                <w:szCs w:val="20"/>
              </w:rPr>
            </w:pPr>
            <w:r w:rsidRPr="002852F3">
              <w:rPr>
                <w:rFonts w:ascii="Verdana" w:hAnsi="Verdana"/>
                <w:b/>
                <w:sz w:val="20"/>
                <w:szCs w:val="20"/>
                <w:vertAlign w:val="superscript"/>
              </w:rPr>
              <w:t>2</w:t>
            </w:r>
            <w:r>
              <w:rPr>
                <w:rFonts w:ascii="Verdana" w:hAnsi="Verdana"/>
                <w:sz w:val="20"/>
                <w:szCs w:val="20"/>
              </w:rPr>
              <w:t xml:space="preserve"> </w:t>
            </w:r>
            <w:r w:rsidRPr="002852F3">
              <w:rPr>
                <w:rFonts w:ascii="Verdana" w:hAnsi="Verdana"/>
                <w:sz w:val="20"/>
                <w:szCs w:val="20"/>
              </w:rPr>
              <w:t>The writer then provides evidence for the importance of SP, using a variety of sources and  citation formats .</w:t>
            </w:r>
          </w:p>
          <w:p w:rsidR="002852F3" w:rsidRPr="002852F3" w:rsidRDefault="002852F3" w:rsidP="00C15EC7">
            <w:pPr>
              <w:widowControl w:val="0"/>
              <w:autoSpaceDE w:val="0"/>
              <w:autoSpaceDN w:val="0"/>
              <w:adjustRightInd w:val="0"/>
              <w:rPr>
                <w:rFonts w:ascii="Verdana" w:hAnsi="Verdana"/>
                <w:sz w:val="20"/>
                <w:szCs w:val="20"/>
              </w:rPr>
            </w:pPr>
            <w:r w:rsidRPr="002852F3">
              <w:rPr>
                <w:rStyle w:val="Hyperlink"/>
                <w:rFonts w:ascii="Verdana" w:hAnsi="Verdana"/>
                <w:b/>
                <w:color w:val="auto"/>
                <w:sz w:val="20"/>
                <w:szCs w:val="20"/>
                <w:u w:val="none"/>
                <w:vertAlign w:val="superscript"/>
              </w:rPr>
              <w:t>4</w:t>
            </w:r>
            <w:r w:rsidRPr="002852F3">
              <w:rPr>
                <w:rStyle w:val="Hyperlink"/>
                <w:rFonts w:ascii="Verdana" w:hAnsi="Verdana"/>
                <w:color w:val="auto"/>
                <w:sz w:val="20"/>
                <w:szCs w:val="20"/>
                <w:u w:val="none"/>
              </w:rPr>
              <w:t xml:space="preserve"> </w:t>
            </w:r>
            <w:r w:rsidRPr="002852F3">
              <w:rPr>
                <w:rStyle w:val="Hyperlink"/>
                <w:rFonts w:ascii="Verdana" w:hAnsi="Verdana"/>
                <w:color w:val="auto"/>
                <w:sz w:val="20"/>
                <w:szCs w:val="20"/>
              </w:rPr>
              <w:t>The writer is not referring to a source here – she is</w:t>
            </w:r>
            <w:r w:rsidRPr="002852F3">
              <w:rPr>
                <w:rFonts w:ascii="Verdana" w:hAnsi="Verdana"/>
                <w:sz w:val="20"/>
                <w:szCs w:val="20"/>
              </w:rPr>
              <w:t xml:space="preserve"> signalling a shift in the focus of the text to planning processes. This signalling function is one way that writers put their “voice” into an academic text. </w:t>
            </w:r>
          </w:p>
          <w:p w:rsidR="002852F3" w:rsidRPr="002852F3" w:rsidRDefault="002852F3" w:rsidP="00C15EC7">
            <w:pPr>
              <w:widowControl w:val="0"/>
              <w:autoSpaceDE w:val="0"/>
              <w:autoSpaceDN w:val="0"/>
              <w:adjustRightInd w:val="0"/>
              <w:rPr>
                <w:rFonts w:ascii="Verdana" w:hAnsi="Verdana"/>
                <w:sz w:val="20"/>
                <w:szCs w:val="20"/>
              </w:rPr>
            </w:pPr>
          </w:p>
          <w:p w:rsidR="002852F3" w:rsidRPr="002852F3" w:rsidRDefault="002852F3" w:rsidP="00C15EC7">
            <w:pPr>
              <w:widowControl w:val="0"/>
              <w:autoSpaceDE w:val="0"/>
              <w:autoSpaceDN w:val="0"/>
              <w:adjustRightInd w:val="0"/>
              <w:rPr>
                <w:rFonts w:ascii="Verdana" w:hAnsi="Verdana"/>
                <w:sz w:val="20"/>
                <w:szCs w:val="20"/>
              </w:rPr>
            </w:pPr>
          </w:p>
          <w:p w:rsidR="002852F3" w:rsidRPr="002852F3" w:rsidRDefault="002852F3" w:rsidP="00C15EC7">
            <w:pPr>
              <w:widowControl w:val="0"/>
              <w:autoSpaceDE w:val="0"/>
              <w:autoSpaceDN w:val="0"/>
              <w:adjustRightInd w:val="0"/>
              <w:rPr>
                <w:rFonts w:ascii="Verdana" w:hAnsi="Verdana"/>
                <w:sz w:val="20"/>
                <w:szCs w:val="20"/>
              </w:rPr>
            </w:pPr>
          </w:p>
          <w:p w:rsidR="002852F3" w:rsidRPr="002852F3" w:rsidRDefault="002852F3" w:rsidP="00C15EC7">
            <w:pPr>
              <w:widowControl w:val="0"/>
              <w:autoSpaceDE w:val="0"/>
              <w:autoSpaceDN w:val="0"/>
              <w:adjustRightInd w:val="0"/>
              <w:rPr>
                <w:rFonts w:ascii="Verdana" w:hAnsi="Verdana"/>
                <w:sz w:val="20"/>
                <w:szCs w:val="20"/>
              </w:rPr>
            </w:pPr>
            <w:r w:rsidRPr="002852F3">
              <w:rPr>
                <w:rFonts w:ascii="Verdana" w:hAnsi="Verdana"/>
                <w:b/>
                <w:sz w:val="20"/>
                <w:szCs w:val="20"/>
                <w:vertAlign w:val="superscript"/>
              </w:rPr>
              <w:t>5</w:t>
            </w:r>
            <w:r>
              <w:rPr>
                <w:rFonts w:ascii="Verdana" w:hAnsi="Verdana"/>
                <w:sz w:val="20"/>
                <w:szCs w:val="20"/>
              </w:rPr>
              <w:t xml:space="preserve"> </w:t>
            </w:r>
            <w:r w:rsidRPr="002852F3">
              <w:rPr>
                <w:rFonts w:ascii="Verdana" w:hAnsi="Verdana"/>
                <w:sz w:val="20"/>
                <w:szCs w:val="20"/>
              </w:rPr>
              <w:t xml:space="preserve">The writer is now starting to analyse the planning process using a variety of sources. </w:t>
            </w:r>
          </w:p>
        </w:tc>
      </w:tr>
    </w:tbl>
    <w:p w:rsidR="002852F3" w:rsidRDefault="002852F3" w:rsidP="00677A27">
      <w:pPr>
        <w:rPr>
          <w:rFonts w:ascii="Verdana" w:hAnsi="Verdana"/>
          <w:b/>
          <w:sz w:val="24"/>
          <w:szCs w:val="24"/>
        </w:rPr>
      </w:pPr>
    </w:p>
    <w:sectPr w:rsidR="002852F3" w:rsidSect="00B018C6">
      <w:headerReference w:type="default" r:id="rId8"/>
      <w:footerReference w:type="default" r:id="rId9"/>
      <w:pgSz w:w="11906" w:h="16838"/>
      <w:pgMar w:top="1531" w:right="1440" w:bottom="1134"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6B5" w:rsidRDefault="004D16B5" w:rsidP="00BC481E">
      <w:pPr>
        <w:spacing w:after="0" w:line="240" w:lineRule="auto"/>
      </w:pPr>
      <w:r>
        <w:separator/>
      </w:r>
    </w:p>
  </w:endnote>
  <w:endnote w:type="continuationSeparator" w:id="0">
    <w:p w:rsidR="004D16B5" w:rsidRDefault="004D16B5" w:rsidP="00BC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668962"/>
      <w:docPartObj>
        <w:docPartGallery w:val="Page Numbers (Bottom of Page)"/>
        <w:docPartUnique/>
      </w:docPartObj>
    </w:sdtPr>
    <w:sdtEndPr>
      <w:rPr>
        <w:noProof/>
      </w:rPr>
    </w:sdtEndPr>
    <w:sdtContent>
      <w:p w:rsidR="0052704E" w:rsidRDefault="0052704E">
        <w:pPr>
          <w:pStyle w:val="Footer"/>
          <w:jc w:val="center"/>
        </w:pPr>
      </w:p>
      <w:p w:rsidR="00BC481E" w:rsidRDefault="00BC481E">
        <w:pPr>
          <w:pStyle w:val="Footer"/>
          <w:jc w:val="center"/>
        </w:pPr>
        <w:r>
          <w:fldChar w:fldCharType="begin"/>
        </w:r>
        <w:r>
          <w:instrText xml:space="preserve"> PAGE   \* MERGEFORMAT </w:instrText>
        </w:r>
        <w:r>
          <w:fldChar w:fldCharType="separate"/>
        </w:r>
        <w:r w:rsidR="006B585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6B5" w:rsidRDefault="004D16B5" w:rsidP="00BC481E">
      <w:pPr>
        <w:spacing w:after="0" w:line="240" w:lineRule="auto"/>
      </w:pPr>
      <w:r>
        <w:separator/>
      </w:r>
    </w:p>
  </w:footnote>
  <w:footnote w:type="continuationSeparator" w:id="0">
    <w:p w:rsidR="004D16B5" w:rsidRDefault="004D16B5" w:rsidP="00BC4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1E" w:rsidRPr="0063786F" w:rsidRDefault="004B002E" w:rsidP="0063786F">
    <w:pPr>
      <w:pStyle w:val="Header"/>
      <w:jc w:val="center"/>
      <w:rPr>
        <w:sz w:val="32"/>
        <w:szCs w:val="32"/>
      </w:rPr>
    </w:pPr>
    <w:r w:rsidRPr="0052704E">
      <w:rPr>
        <w:noProof/>
        <w:sz w:val="32"/>
        <w:szCs w:val="32"/>
        <w:lang w:eastAsia="en-GB"/>
      </w:rPr>
      <mc:AlternateContent>
        <mc:Choice Requires="wps">
          <w:drawing>
            <wp:anchor distT="0" distB="0" distL="114300" distR="114300" simplePos="0" relativeHeight="251667456" behindDoc="0" locked="0" layoutInCell="1" allowOverlap="1" wp14:anchorId="32D841DF" wp14:editId="2D63CBC0">
              <wp:simplePos x="0" y="0"/>
              <wp:positionH relativeFrom="column">
                <wp:posOffset>590550</wp:posOffset>
              </wp:positionH>
              <wp:positionV relativeFrom="paragraph">
                <wp:posOffset>-155575</wp:posOffset>
              </wp:positionV>
              <wp:extent cx="4114800" cy="4667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66725"/>
                      </a:xfrm>
                      <a:prstGeom prst="rect">
                        <a:avLst/>
                      </a:prstGeom>
                      <a:noFill/>
                      <a:ln w="9525">
                        <a:noFill/>
                        <a:miter lim="800000"/>
                        <a:headEnd/>
                        <a:tailEnd/>
                      </a:ln>
                    </wps:spPr>
                    <wps:txbx>
                      <w:txbxContent>
                        <w:p w:rsidR="0052704E" w:rsidRPr="004B002E" w:rsidRDefault="0052704E" w:rsidP="004B002E">
                          <w:pPr>
                            <w:rPr>
                              <w:color w:val="FFFFFF" w:themeColor="background1"/>
                              <w:sz w:val="40"/>
                              <w:szCs w:val="40"/>
                            </w:rPr>
                          </w:pPr>
                          <w:r w:rsidRPr="004B002E">
                            <w:rPr>
                              <w:color w:val="FFFFFF" w:themeColor="background1"/>
                              <w:sz w:val="40"/>
                              <w:szCs w:val="40"/>
                            </w:rPr>
                            <w:t>GSBS – Learning Development Centre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5pt;margin-top:-12.25pt;width:324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" filled="f" stroked="f">
              <v:textbox>
                <w:txbxContent>
                  <w:p w:rsidR="0052704E" w:rsidRPr="004B002E" w:rsidRDefault="0052704E" w:rsidP="004B002E">
                    <w:pPr>
                      <w:rPr>
                        <w:color w:val="FFFFFF" w:themeColor="background1"/>
                        <w:sz w:val="40"/>
                        <w:szCs w:val="40"/>
                      </w:rPr>
                    </w:pPr>
                    <w:r w:rsidRPr="004B002E">
                      <w:rPr>
                        <w:color w:val="FFFFFF" w:themeColor="background1"/>
                        <w:sz w:val="40"/>
                        <w:szCs w:val="40"/>
                      </w:rPr>
                      <w:t>GSBS – Learning Development Centre</w:t>
                    </w:r>
                  </w:p>
                </w:txbxContent>
              </v:textbox>
            </v:shape>
          </w:pict>
        </mc:Fallback>
      </mc:AlternateContent>
    </w:r>
    <w:r w:rsidR="003042CA">
      <w:rPr>
        <w:rFonts w:ascii="Verdana" w:hAnsi="Verdana"/>
        <w:noProof/>
        <w:sz w:val="24"/>
        <w:szCs w:val="24"/>
        <w:lang w:eastAsia="en-GB"/>
      </w:rPr>
      <w:drawing>
        <wp:anchor distT="0" distB="0" distL="114300" distR="114300" simplePos="0" relativeHeight="251669504" behindDoc="0" locked="0" layoutInCell="1" allowOverlap="1" wp14:anchorId="688C4004" wp14:editId="6780CD4A">
          <wp:simplePos x="0" y="0"/>
          <wp:positionH relativeFrom="column">
            <wp:posOffset>-752475</wp:posOffset>
          </wp:positionH>
          <wp:positionV relativeFrom="paragraph">
            <wp:posOffset>-279400</wp:posOffset>
          </wp:positionV>
          <wp:extent cx="1260000" cy="845971"/>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tree small.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60000" cy="845971"/>
                  </a:xfrm>
                  <a:prstGeom prst="rect">
                    <a:avLst/>
                  </a:prstGeom>
                </pic:spPr>
              </pic:pic>
            </a:graphicData>
          </a:graphic>
          <wp14:sizeRelH relativeFrom="page">
            <wp14:pctWidth>0</wp14:pctWidth>
          </wp14:sizeRelH>
          <wp14:sizeRelV relativeFrom="page">
            <wp14:pctHeight>0</wp14:pctHeight>
          </wp14:sizeRelV>
        </wp:anchor>
      </w:drawing>
    </w:r>
    <w:r w:rsidR="00677A27" w:rsidRPr="0063786F">
      <w:rPr>
        <w:noProof/>
        <w:sz w:val="32"/>
        <w:szCs w:val="32"/>
        <w:lang w:eastAsia="en-GB"/>
      </w:rPr>
      <mc:AlternateContent>
        <mc:Choice Requires="wps">
          <w:drawing>
            <wp:anchor distT="0" distB="0" distL="114300" distR="114300" simplePos="0" relativeHeight="251662336" behindDoc="1" locked="0" layoutInCell="1" allowOverlap="1" wp14:anchorId="5350890A" wp14:editId="53A639D2">
              <wp:simplePos x="0" y="0"/>
              <wp:positionH relativeFrom="column">
                <wp:posOffset>-952500</wp:posOffset>
              </wp:positionH>
              <wp:positionV relativeFrom="paragraph">
                <wp:posOffset>-431800</wp:posOffset>
              </wp:positionV>
              <wp:extent cx="7620000" cy="847725"/>
              <wp:effectExtent l="0" t="0" r="0" b="9525"/>
              <wp:wrapNone/>
              <wp:docPr id="2" name="Rectangle 2"/>
              <wp:cNvGraphicFramePr/>
              <a:graphic xmlns:a="http://schemas.openxmlformats.org/drawingml/2006/main">
                <a:graphicData uri="http://schemas.microsoft.com/office/word/2010/wordprocessingShape">
                  <wps:wsp>
                    <wps:cNvSpPr/>
                    <wps:spPr>
                      <a:xfrm>
                        <a:off x="0" y="0"/>
                        <a:ext cx="7620000" cy="847725"/>
                      </a:xfrm>
                      <a:prstGeom prst="rect">
                        <a:avLst/>
                      </a:prstGeom>
                      <a:solidFill>
                        <a:srgbClr val="043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5pt;margin-top:-34pt;width:600pt;height:6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" fillcolor="#0439a4" stroked="f"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00E5"/>
    <w:multiLevelType w:val="hybridMultilevel"/>
    <w:tmpl w:val="0CFA0E26"/>
    <w:lvl w:ilvl="0" w:tplc="F7C01746">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391EA8"/>
    <w:multiLevelType w:val="hybridMultilevel"/>
    <w:tmpl w:val="0D8888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24E7E"/>
    <w:multiLevelType w:val="hybridMultilevel"/>
    <w:tmpl w:val="A9F0D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2E17220"/>
    <w:multiLevelType w:val="hybridMultilevel"/>
    <w:tmpl w:val="F4C83A4A"/>
    <w:lvl w:ilvl="0" w:tplc="01AEAF00">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6A91475"/>
    <w:multiLevelType w:val="hybridMultilevel"/>
    <w:tmpl w:val="0410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195778"/>
    <w:multiLevelType w:val="hybridMultilevel"/>
    <w:tmpl w:val="C09E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FC051B"/>
    <w:multiLevelType w:val="hybridMultilevel"/>
    <w:tmpl w:val="36A02506"/>
    <w:lvl w:ilvl="0" w:tplc="C15ED0A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F6E44F4"/>
    <w:multiLevelType w:val="hybridMultilevel"/>
    <w:tmpl w:val="238A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3E73F2"/>
    <w:multiLevelType w:val="hybridMultilevel"/>
    <w:tmpl w:val="B252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4D1060"/>
    <w:multiLevelType w:val="hybridMultilevel"/>
    <w:tmpl w:val="D40C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C50476"/>
    <w:multiLevelType w:val="hybridMultilevel"/>
    <w:tmpl w:val="E012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F36D1B"/>
    <w:multiLevelType w:val="hybridMultilevel"/>
    <w:tmpl w:val="C8BE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C11422"/>
    <w:multiLevelType w:val="hybridMultilevel"/>
    <w:tmpl w:val="25EC1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4446986"/>
    <w:multiLevelType w:val="hybridMultilevel"/>
    <w:tmpl w:val="A158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021BEC"/>
    <w:multiLevelType w:val="hybridMultilevel"/>
    <w:tmpl w:val="AF4A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145627"/>
    <w:multiLevelType w:val="hybridMultilevel"/>
    <w:tmpl w:val="DD88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002080"/>
    <w:multiLevelType w:val="hybridMultilevel"/>
    <w:tmpl w:val="32184194"/>
    <w:lvl w:ilvl="0" w:tplc="01AEAF00">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D2E7139"/>
    <w:multiLevelType w:val="hybridMultilevel"/>
    <w:tmpl w:val="AA587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D5F5294"/>
    <w:multiLevelType w:val="hybridMultilevel"/>
    <w:tmpl w:val="F09E5E2A"/>
    <w:lvl w:ilvl="0" w:tplc="01AEAF00">
      <w:start w:val="1"/>
      <w:numFmt w:val="bullet"/>
      <w:lvlText w:val=""/>
      <w:lvlJc w:val="left"/>
      <w:pPr>
        <w:tabs>
          <w:tab w:val="num" w:pos="720"/>
        </w:tabs>
        <w:ind w:left="720" w:hanging="360"/>
      </w:pPr>
      <w:rPr>
        <w:rFonts w:ascii="Wingdings" w:hAnsi="Wingdings" w:hint="default"/>
      </w:rPr>
    </w:lvl>
    <w:lvl w:ilvl="1" w:tplc="33DCDDA2">
      <w:start w:val="1"/>
      <w:numFmt w:val="bullet"/>
      <w:lvlText w:val=""/>
      <w:lvlJc w:val="left"/>
      <w:pPr>
        <w:tabs>
          <w:tab w:val="num" w:pos="1440"/>
        </w:tabs>
        <w:ind w:left="1440" w:hanging="360"/>
      </w:pPr>
      <w:rPr>
        <w:rFonts w:ascii="Wingdings" w:hAnsi="Wingdings" w:hint="default"/>
      </w:rPr>
    </w:lvl>
    <w:lvl w:ilvl="2" w:tplc="4D96FD0E">
      <w:start w:val="1"/>
      <w:numFmt w:val="bullet"/>
      <w:lvlText w:val=""/>
      <w:lvlJc w:val="left"/>
      <w:pPr>
        <w:tabs>
          <w:tab w:val="num" w:pos="2160"/>
        </w:tabs>
        <w:ind w:left="2160" w:hanging="360"/>
      </w:pPr>
      <w:rPr>
        <w:rFonts w:ascii="Wingdings" w:hAnsi="Wingdings" w:hint="default"/>
      </w:rPr>
    </w:lvl>
    <w:lvl w:ilvl="3" w:tplc="B35C55DA">
      <w:start w:val="1"/>
      <w:numFmt w:val="bullet"/>
      <w:lvlText w:val=""/>
      <w:lvlJc w:val="left"/>
      <w:pPr>
        <w:tabs>
          <w:tab w:val="num" w:pos="2880"/>
        </w:tabs>
        <w:ind w:left="2880" w:hanging="360"/>
      </w:pPr>
      <w:rPr>
        <w:rFonts w:ascii="Wingdings" w:hAnsi="Wingdings" w:hint="default"/>
      </w:rPr>
    </w:lvl>
    <w:lvl w:ilvl="4" w:tplc="E1E002C0">
      <w:start w:val="1"/>
      <w:numFmt w:val="bullet"/>
      <w:lvlText w:val=""/>
      <w:lvlJc w:val="left"/>
      <w:pPr>
        <w:tabs>
          <w:tab w:val="num" w:pos="3600"/>
        </w:tabs>
        <w:ind w:left="3600" w:hanging="360"/>
      </w:pPr>
      <w:rPr>
        <w:rFonts w:ascii="Wingdings" w:hAnsi="Wingdings" w:hint="default"/>
      </w:rPr>
    </w:lvl>
    <w:lvl w:ilvl="5" w:tplc="D6643314">
      <w:start w:val="1"/>
      <w:numFmt w:val="bullet"/>
      <w:lvlText w:val=""/>
      <w:lvlJc w:val="left"/>
      <w:pPr>
        <w:tabs>
          <w:tab w:val="num" w:pos="4320"/>
        </w:tabs>
        <w:ind w:left="4320" w:hanging="360"/>
      </w:pPr>
      <w:rPr>
        <w:rFonts w:ascii="Wingdings" w:hAnsi="Wingdings" w:hint="default"/>
      </w:rPr>
    </w:lvl>
    <w:lvl w:ilvl="6" w:tplc="10389EA6">
      <w:start w:val="1"/>
      <w:numFmt w:val="bullet"/>
      <w:lvlText w:val=""/>
      <w:lvlJc w:val="left"/>
      <w:pPr>
        <w:tabs>
          <w:tab w:val="num" w:pos="5040"/>
        </w:tabs>
        <w:ind w:left="5040" w:hanging="360"/>
      </w:pPr>
      <w:rPr>
        <w:rFonts w:ascii="Wingdings" w:hAnsi="Wingdings" w:hint="default"/>
      </w:rPr>
    </w:lvl>
    <w:lvl w:ilvl="7" w:tplc="F5AA3028">
      <w:start w:val="1"/>
      <w:numFmt w:val="bullet"/>
      <w:lvlText w:val=""/>
      <w:lvlJc w:val="left"/>
      <w:pPr>
        <w:tabs>
          <w:tab w:val="num" w:pos="5760"/>
        </w:tabs>
        <w:ind w:left="5760" w:hanging="360"/>
      </w:pPr>
      <w:rPr>
        <w:rFonts w:ascii="Wingdings" w:hAnsi="Wingdings" w:hint="default"/>
      </w:rPr>
    </w:lvl>
    <w:lvl w:ilvl="8" w:tplc="D0D034EE">
      <w:start w:val="1"/>
      <w:numFmt w:val="bullet"/>
      <w:lvlText w:val=""/>
      <w:lvlJc w:val="left"/>
      <w:pPr>
        <w:tabs>
          <w:tab w:val="num" w:pos="6480"/>
        </w:tabs>
        <w:ind w:left="6480" w:hanging="360"/>
      </w:pPr>
      <w:rPr>
        <w:rFonts w:ascii="Wingdings" w:hAnsi="Wingdings" w:hint="default"/>
      </w:rPr>
    </w:lvl>
  </w:abstractNum>
  <w:abstractNum w:abstractNumId="19">
    <w:nsid w:val="60D217AD"/>
    <w:multiLevelType w:val="hybridMultilevel"/>
    <w:tmpl w:val="F1E0B744"/>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0">
    <w:nsid w:val="6E3403BD"/>
    <w:multiLevelType w:val="hybridMultilevel"/>
    <w:tmpl w:val="27B8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0F020C"/>
    <w:multiLevelType w:val="hybridMultilevel"/>
    <w:tmpl w:val="45A2D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F44937"/>
    <w:multiLevelType w:val="hybridMultilevel"/>
    <w:tmpl w:val="9628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717C86"/>
    <w:multiLevelType w:val="hybridMultilevel"/>
    <w:tmpl w:val="0342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3F4222"/>
    <w:multiLevelType w:val="hybridMultilevel"/>
    <w:tmpl w:val="C624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CE3A58"/>
    <w:multiLevelType w:val="hybridMultilevel"/>
    <w:tmpl w:val="FCE4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540CED"/>
    <w:multiLevelType w:val="hybridMultilevel"/>
    <w:tmpl w:val="1028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4"/>
  </w:num>
  <w:num w:numId="4">
    <w:abstractNumId w:val="8"/>
  </w:num>
  <w:num w:numId="5">
    <w:abstractNumId w:val="20"/>
  </w:num>
  <w:num w:numId="6">
    <w:abstractNumId w:val="5"/>
  </w:num>
  <w:num w:numId="7">
    <w:abstractNumId w:val="22"/>
  </w:num>
  <w:num w:numId="8">
    <w:abstractNumId w:val="11"/>
  </w:num>
  <w:num w:numId="9">
    <w:abstractNumId w:val="7"/>
  </w:num>
  <w:num w:numId="10">
    <w:abstractNumId w:val="23"/>
  </w:num>
  <w:num w:numId="11">
    <w:abstractNumId w:val="26"/>
  </w:num>
  <w:num w:numId="12">
    <w:abstractNumId w:val="1"/>
  </w:num>
  <w:num w:numId="13">
    <w:abstractNumId w:val="6"/>
  </w:num>
  <w:num w:numId="14">
    <w:abstractNumId w:val="24"/>
  </w:num>
  <w:num w:numId="15">
    <w:abstractNumId w:val="2"/>
  </w:num>
  <w:num w:numId="16">
    <w:abstractNumId w:val="0"/>
  </w:num>
  <w:num w:numId="17">
    <w:abstractNumId w:val="21"/>
  </w:num>
  <w:num w:numId="18">
    <w:abstractNumId w:val="18"/>
  </w:num>
  <w:num w:numId="19">
    <w:abstractNumId w:val="16"/>
  </w:num>
  <w:num w:numId="20">
    <w:abstractNumId w:val="3"/>
  </w:num>
  <w:num w:numId="21">
    <w:abstractNumId w:val="12"/>
  </w:num>
  <w:num w:numId="22">
    <w:abstractNumId w:val="17"/>
  </w:num>
  <w:num w:numId="23">
    <w:abstractNumId w:val="19"/>
  </w:num>
  <w:num w:numId="24">
    <w:abstractNumId w:val="15"/>
  </w:num>
  <w:num w:numId="25">
    <w:abstractNumId w:val="25"/>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YzNjA1MzY3MTIztrBU0lEKTi0uzszPAykwrAUALaZCPCwAAAA="/>
  </w:docVars>
  <w:rsids>
    <w:rsidRoot w:val="00370FDE"/>
    <w:rsid w:val="000423EE"/>
    <w:rsid w:val="000E36BF"/>
    <w:rsid w:val="001252C4"/>
    <w:rsid w:val="00147EED"/>
    <w:rsid w:val="001A125A"/>
    <w:rsid w:val="001A186B"/>
    <w:rsid w:val="002852F3"/>
    <w:rsid w:val="002B174D"/>
    <w:rsid w:val="003042CA"/>
    <w:rsid w:val="003334A5"/>
    <w:rsid w:val="0035266B"/>
    <w:rsid w:val="00370FDE"/>
    <w:rsid w:val="003A39D3"/>
    <w:rsid w:val="003E5455"/>
    <w:rsid w:val="00443769"/>
    <w:rsid w:val="00466FCB"/>
    <w:rsid w:val="004B002E"/>
    <w:rsid w:val="004D16B5"/>
    <w:rsid w:val="004E4A0B"/>
    <w:rsid w:val="0050316D"/>
    <w:rsid w:val="00512B40"/>
    <w:rsid w:val="0052704E"/>
    <w:rsid w:val="00610F73"/>
    <w:rsid w:val="0063786F"/>
    <w:rsid w:val="00677A27"/>
    <w:rsid w:val="006858FF"/>
    <w:rsid w:val="0069674F"/>
    <w:rsid w:val="006B5857"/>
    <w:rsid w:val="006C40E8"/>
    <w:rsid w:val="006E0199"/>
    <w:rsid w:val="00741D58"/>
    <w:rsid w:val="007B208D"/>
    <w:rsid w:val="00895E5D"/>
    <w:rsid w:val="008E4E36"/>
    <w:rsid w:val="00917BB8"/>
    <w:rsid w:val="009D128B"/>
    <w:rsid w:val="00AC6471"/>
    <w:rsid w:val="00AE68E1"/>
    <w:rsid w:val="00B018C6"/>
    <w:rsid w:val="00B46B2B"/>
    <w:rsid w:val="00B478FB"/>
    <w:rsid w:val="00BA0C38"/>
    <w:rsid w:val="00BC481E"/>
    <w:rsid w:val="00C55C5C"/>
    <w:rsid w:val="00D217F5"/>
    <w:rsid w:val="00D828C7"/>
    <w:rsid w:val="00DA6B36"/>
    <w:rsid w:val="00E44E07"/>
    <w:rsid w:val="00E65C35"/>
    <w:rsid w:val="00EF1286"/>
    <w:rsid w:val="00F12647"/>
    <w:rsid w:val="00FE44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95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DE"/>
  </w:style>
  <w:style w:type="paragraph" w:styleId="Heading1">
    <w:name w:val="heading 1"/>
    <w:basedOn w:val="Normal"/>
    <w:next w:val="Normal"/>
    <w:link w:val="Heading1Char"/>
    <w:uiPriority w:val="9"/>
    <w:qFormat/>
    <w:rsid w:val="00E44E07"/>
    <w:pPr>
      <w:keepNext/>
      <w:keepLines/>
      <w:numPr>
        <w:numId w:val="16"/>
      </w:numPr>
      <w:spacing w:after="240" w:line="240" w:lineRule="auto"/>
      <w:outlineLvl w:val="0"/>
    </w:pPr>
    <w:rPr>
      <w:rFonts w:ascii="Verdana" w:eastAsiaTheme="majorEastAsia" w:hAnsi="Verdana" w:cstheme="majorBidi"/>
      <w:b/>
      <w:bCs/>
      <w:color w:val="0439A4"/>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81E"/>
  </w:style>
  <w:style w:type="paragraph" w:styleId="Footer">
    <w:name w:val="footer"/>
    <w:basedOn w:val="Normal"/>
    <w:link w:val="FooterChar"/>
    <w:uiPriority w:val="99"/>
    <w:unhideWhenUsed/>
    <w:rsid w:val="00BC4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81E"/>
  </w:style>
  <w:style w:type="paragraph" w:styleId="BalloonText">
    <w:name w:val="Balloon Text"/>
    <w:basedOn w:val="Normal"/>
    <w:link w:val="BalloonTextChar"/>
    <w:uiPriority w:val="99"/>
    <w:semiHidden/>
    <w:unhideWhenUsed/>
    <w:rsid w:val="00BC4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1E"/>
    <w:rPr>
      <w:rFonts w:ascii="Tahoma" w:hAnsi="Tahoma" w:cs="Tahoma"/>
      <w:sz w:val="16"/>
      <w:szCs w:val="16"/>
    </w:rPr>
  </w:style>
  <w:style w:type="paragraph" w:customStyle="1" w:styleId="WebFontStyle">
    <w:name w:val="Web Font Style"/>
    <w:basedOn w:val="Normal"/>
    <w:next w:val="Normal"/>
    <w:qFormat/>
    <w:rsid w:val="00BC481E"/>
    <w:pPr>
      <w:spacing w:before="120" w:after="240" w:line="360" w:lineRule="auto"/>
    </w:pPr>
    <w:rPr>
      <w:rFonts w:ascii="Calibri" w:hAnsi="Calibri"/>
      <w:sz w:val="24"/>
    </w:rPr>
  </w:style>
  <w:style w:type="paragraph" w:customStyle="1" w:styleId="WebPlainHeading1">
    <w:name w:val="Web Plain Heading 1"/>
    <w:basedOn w:val="Normal"/>
    <w:next w:val="WebFontStyle"/>
    <w:qFormat/>
    <w:rsid w:val="00BC481E"/>
    <w:pPr>
      <w:keepNext/>
      <w:spacing w:before="120" w:after="240" w:line="240" w:lineRule="auto"/>
      <w:outlineLvl w:val="0"/>
    </w:pPr>
    <w:rPr>
      <w:rFonts w:ascii="Calibri" w:hAnsi="Calibri"/>
      <w:b/>
      <w:sz w:val="32"/>
    </w:rPr>
  </w:style>
  <w:style w:type="paragraph" w:customStyle="1" w:styleId="WebPlainHeading2">
    <w:name w:val="Web Plain Heading 2"/>
    <w:basedOn w:val="Normal"/>
    <w:next w:val="WebFontStyle"/>
    <w:qFormat/>
    <w:rsid w:val="00BC481E"/>
    <w:pPr>
      <w:keepNext/>
      <w:spacing w:before="120" w:after="240" w:line="240" w:lineRule="auto"/>
      <w:outlineLvl w:val="1"/>
    </w:pPr>
    <w:rPr>
      <w:rFonts w:ascii="Calibri" w:hAnsi="Calibri"/>
      <w:b/>
      <w:sz w:val="28"/>
    </w:rPr>
  </w:style>
  <w:style w:type="paragraph" w:styleId="ListParagraph">
    <w:name w:val="List Paragraph"/>
    <w:basedOn w:val="Normal"/>
    <w:uiPriority w:val="34"/>
    <w:qFormat/>
    <w:rsid w:val="00BC481E"/>
    <w:pPr>
      <w:ind w:left="720"/>
      <w:contextualSpacing/>
    </w:pPr>
  </w:style>
  <w:style w:type="table" w:styleId="TableGrid">
    <w:name w:val="Table Grid"/>
    <w:basedOn w:val="TableNormal"/>
    <w:uiPriority w:val="59"/>
    <w:rsid w:val="0067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plainheading">
    <w:name w:val="temp plain heading"/>
    <w:basedOn w:val="Normal"/>
    <w:next w:val="Normal"/>
    <w:qFormat/>
    <w:rsid w:val="00E44E07"/>
    <w:pPr>
      <w:spacing w:after="0" w:line="360" w:lineRule="auto"/>
      <w:contextualSpacing/>
      <w:jc w:val="center"/>
      <w:outlineLvl w:val="0"/>
    </w:pPr>
    <w:rPr>
      <w:rFonts w:ascii="Verdana" w:hAnsi="Verdana"/>
      <w:b/>
      <w:color w:val="0439A4"/>
      <w:sz w:val="28"/>
      <w:szCs w:val="24"/>
    </w:rPr>
  </w:style>
  <w:style w:type="paragraph" w:customStyle="1" w:styleId="tempplainheading2">
    <w:name w:val="temp plain heading 2"/>
    <w:basedOn w:val="Normal"/>
    <w:qFormat/>
    <w:rsid w:val="00E44E07"/>
    <w:pPr>
      <w:spacing w:after="240" w:line="240" w:lineRule="auto"/>
      <w:outlineLvl w:val="0"/>
    </w:pPr>
    <w:rPr>
      <w:rFonts w:ascii="Verdana" w:hAnsi="Verdana" w:cs="Arial"/>
      <w:b/>
      <w:color w:val="0439A4"/>
      <w:sz w:val="24"/>
      <w:szCs w:val="24"/>
    </w:rPr>
  </w:style>
  <w:style w:type="character" w:customStyle="1" w:styleId="Heading1Char">
    <w:name w:val="Heading 1 Char"/>
    <w:basedOn w:val="DefaultParagraphFont"/>
    <w:link w:val="Heading1"/>
    <w:uiPriority w:val="9"/>
    <w:rsid w:val="00E44E07"/>
    <w:rPr>
      <w:rFonts w:ascii="Verdana" w:eastAsiaTheme="majorEastAsia" w:hAnsi="Verdana" w:cstheme="majorBidi"/>
      <w:b/>
      <w:bCs/>
      <w:color w:val="0439A4"/>
      <w:sz w:val="24"/>
      <w:szCs w:val="28"/>
    </w:rPr>
  </w:style>
  <w:style w:type="paragraph" w:customStyle="1" w:styleId="tempbodytext">
    <w:name w:val="temp body text"/>
    <w:basedOn w:val="Normal"/>
    <w:next w:val="Normal"/>
    <w:qFormat/>
    <w:rsid w:val="00B018C6"/>
    <w:pPr>
      <w:spacing w:before="120" w:after="240" w:line="360" w:lineRule="auto"/>
      <w:jc w:val="both"/>
    </w:pPr>
    <w:rPr>
      <w:rFonts w:ascii="Verdana" w:hAnsi="Verdana"/>
      <w:szCs w:val="24"/>
    </w:rPr>
  </w:style>
  <w:style w:type="paragraph" w:customStyle="1" w:styleId="Default">
    <w:name w:val="Default"/>
    <w:rsid w:val="002852F3"/>
    <w:pPr>
      <w:widowControl w:val="0"/>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2852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DE"/>
  </w:style>
  <w:style w:type="paragraph" w:styleId="Heading1">
    <w:name w:val="heading 1"/>
    <w:basedOn w:val="Normal"/>
    <w:next w:val="Normal"/>
    <w:link w:val="Heading1Char"/>
    <w:uiPriority w:val="9"/>
    <w:qFormat/>
    <w:rsid w:val="00E44E07"/>
    <w:pPr>
      <w:keepNext/>
      <w:keepLines/>
      <w:numPr>
        <w:numId w:val="16"/>
      </w:numPr>
      <w:spacing w:after="240" w:line="240" w:lineRule="auto"/>
      <w:outlineLvl w:val="0"/>
    </w:pPr>
    <w:rPr>
      <w:rFonts w:ascii="Verdana" w:eastAsiaTheme="majorEastAsia" w:hAnsi="Verdana" w:cstheme="majorBidi"/>
      <w:b/>
      <w:bCs/>
      <w:color w:val="0439A4"/>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81E"/>
  </w:style>
  <w:style w:type="paragraph" w:styleId="Footer">
    <w:name w:val="footer"/>
    <w:basedOn w:val="Normal"/>
    <w:link w:val="FooterChar"/>
    <w:uiPriority w:val="99"/>
    <w:unhideWhenUsed/>
    <w:rsid w:val="00BC4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81E"/>
  </w:style>
  <w:style w:type="paragraph" w:styleId="BalloonText">
    <w:name w:val="Balloon Text"/>
    <w:basedOn w:val="Normal"/>
    <w:link w:val="BalloonTextChar"/>
    <w:uiPriority w:val="99"/>
    <w:semiHidden/>
    <w:unhideWhenUsed/>
    <w:rsid w:val="00BC4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1E"/>
    <w:rPr>
      <w:rFonts w:ascii="Tahoma" w:hAnsi="Tahoma" w:cs="Tahoma"/>
      <w:sz w:val="16"/>
      <w:szCs w:val="16"/>
    </w:rPr>
  </w:style>
  <w:style w:type="paragraph" w:customStyle="1" w:styleId="WebFontStyle">
    <w:name w:val="Web Font Style"/>
    <w:basedOn w:val="Normal"/>
    <w:next w:val="Normal"/>
    <w:qFormat/>
    <w:rsid w:val="00BC481E"/>
    <w:pPr>
      <w:spacing w:before="120" w:after="240" w:line="360" w:lineRule="auto"/>
    </w:pPr>
    <w:rPr>
      <w:rFonts w:ascii="Calibri" w:hAnsi="Calibri"/>
      <w:sz w:val="24"/>
    </w:rPr>
  </w:style>
  <w:style w:type="paragraph" w:customStyle="1" w:styleId="WebPlainHeading1">
    <w:name w:val="Web Plain Heading 1"/>
    <w:basedOn w:val="Normal"/>
    <w:next w:val="WebFontStyle"/>
    <w:qFormat/>
    <w:rsid w:val="00BC481E"/>
    <w:pPr>
      <w:keepNext/>
      <w:spacing w:before="120" w:after="240" w:line="240" w:lineRule="auto"/>
      <w:outlineLvl w:val="0"/>
    </w:pPr>
    <w:rPr>
      <w:rFonts w:ascii="Calibri" w:hAnsi="Calibri"/>
      <w:b/>
      <w:sz w:val="32"/>
    </w:rPr>
  </w:style>
  <w:style w:type="paragraph" w:customStyle="1" w:styleId="WebPlainHeading2">
    <w:name w:val="Web Plain Heading 2"/>
    <w:basedOn w:val="Normal"/>
    <w:next w:val="WebFontStyle"/>
    <w:qFormat/>
    <w:rsid w:val="00BC481E"/>
    <w:pPr>
      <w:keepNext/>
      <w:spacing w:before="120" w:after="240" w:line="240" w:lineRule="auto"/>
      <w:outlineLvl w:val="1"/>
    </w:pPr>
    <w:rPr>
      <w:rFonts w:ascii="Calibri" w:hAnsi="Calibri"/>
      <w:b/>
      <w:sz w:val="28"/>
    </w:rPr>
  </w:style>
  <w:style w:type="paragraph" w:styleId="ListParagraph">
    <w:name w:val="List Paragraph"/>
    <w:basedOn w:val="Normal"/>
    <w:uiPriority w:val="34"/>
    <w:qFormat/>
    <w:rsid w:val="00BC481E"/>
    <w:pPr>
      <w:ind w:left="720"/>
      <w:contextualSpacing/>
    </w:pPr>
  </w:style>
  <w:style w:type="table" w:styleId="TableGrid">
    <w:name w:val="Table Grid"/>
    <w:basedOn w:val="TableNormal"/>
    <w:uiPriority w:val="59"/>
    <w:rsid w:val="0067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plainheading">
    <w:name w:val="temp plain heading"/>
    <w:basedOn w:val="Normal"/>
    <w:next w:val="Normal"/>
    <w:qFormat/>
    <w:rsid w:val="00E44E07"/>
    <w:pPr>
      <w:spacing w:after="0" w:line="360" w:lineRule="auto"/>
      <w:contextualSpacing/>
      <w:jc w:val="center"/>
      <w:outlineLvl w:val="0"/>
    </w:pPr>
    <w:rPr>
      <w:rFonts w:ascii="Verdana" w:hAnsi="Verdana"/>
      <w:b/>
      <w:color w:val="0439A4"/>
      <w:sz w:val="28"/>
      <w:szCs w:val="24"/>
    </w:rPr>
  </w:style>
  <w:style w:type="paragraph" w:customStyle="1" w:styleId="tempplainheading2">
    <w:name w:val="temp plain heading 2"/>
    <w:basedOn w:val="Normal"/>
    <w:qFormat/>
    <w:rsid w:val="00E44E07"/>
    <w:pPr>
      <w:spacing w:after="240" w:line="240" w:lineRule="auto"/>
      <w:outlineLvl w:val="0"/>
    </w:pPr>
    <w:rPr>
      <w:rFonts w:ascii="Verdana" w:hAnsi="Verdana" w:cs="Arial"/>
      <w:b/>
      <w:color w:val="0439A4"/>
      <w:sz w:val="24"/>
      <w:szCs w:val="24"/>
    </w:rPr>
  </w:style>
  <w:style w:type="character" w:customStyle="1" w:styleId="Heading1Char">
    <w:name w:val="Heading 1 Char"/>
    <w:basedOn w:val="DefaultParagraphFont"/>
    <w:link w:val="Heading1"/>
    <w:uiPriority w:val="9"/>
    <w:rsid w:val="00E44E07"/>
    <w:rPr>
      <w:rFonts w:ascii="Verdana" w:eastAsiaTheme="majorEastAsia" w:hAnsi="Verdana" w:cstheme="majorBidi"/>
      <w:b/>
      <w:bCs/>
      <w:color w:val="0439A4"/>
      <w:sz w:val="24"/>
      <w:szCs w:val="28"/>
    </w:rPr>
  </w:style>
  <w:style w:type="paragraph" w:customStyle="1" w:styleId="tempbodytext">
    <w:name w:val="temp body text"/>
    <w:basedOn w:val="Normal"/>
    <w:next w:val="Normal"/>
    <w:qFormat/>
    <w:rsid w:val="00B018C6"/>
    <w:pPr>
      <w:spacing w:before="120" w:after="240" w:line="360" w:lineRule="auto"/>
      <w:jc w:val="both"/>
    </w:pPr>
    <w:rPr>
      <w:rFonts w:ascii="Verdana" w:hAnsi="Verdana"/>
      <w:szCs w:val="24"/>
    </w:rPr>
  </w:style>
  <w:style w:type="paragraph" w:customStyle="1" w:styleId="Default">
    <w:name w:val="Default"/>
    <w:rsid w:val="002852F3"/>
    <w:pPr>
      <w:widowControl w:val="0"/>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2852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3</cp:revision>
  <cp:lastPrinted>2015-12-03T15:38:00Z</cp:lastPrinted>
  <dcterms:created xsi:type="dcterms:W3CDTF">2016-02-25T13:52:00Z</dcterms:created>
  <dcterms:modified xsi:type="dcterms:W3CDTF">2016-02-25T13:53:00Z</dcterms:modified>
</cp:coreProperties>
</file>